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aps/>
          <w:color w:val="4A5680"/>
          <w:sz w:val="17"/>
        </w:rPr>
        <w:t>THE MODERN IDENTITY OPERATING MODEL  ·  COMPANION WORKBOOK</w:t>
      </w:r>
    </w:p>
    <w:p>
      <w:r>
        <w:rPr>
          <w:b/>
          <w:color w:val="1B2A55"/>
          <w:sz w:val="48"/>
        </w:rPr>
        <w:t>AI Identity Intake Form</w:t>
      </w:r>
    </w:p>
    <w:p>
      <w:r>
        <w:rPr>
          <w:i/>
          <w:color w:val="4A5680"/>
          <w:sz w:val="24"/>
        </w:rPr>
        <w:t>Bring AI actors into the same governance as every other identity, before they go live.</w:t>
      </w:r>
    </w:p>
    <w:p>
      <w:r>
        <w:rPr>
          <w:i/>
          <w:color w:val="4A5680"/>
          <w:sz w:val="17"/>
        </w:rPr>
        <w:t>Adapted from Chapter 24 of The Modern Identity Operating Model by Becky Sandberg. © 2026 Becky Sandberg.</w:t>
      </w:r>
    </w:p>
    <w:p/>
    <w:p>
      <w:pPr>
        <w:pStyle w:val="Heading1"/>
      </w:pPr>
      <w:r>
        <w:rPr>
          <w:color w:val="1B2A55"/>
        </w:rPr>
        <w:t>What this is</w:t>
      </w:r>
    </w:p>
    <w:p>
      <w:r>
        <w:t>AI identity should not be onboarded through improvisation. If it is treated as a side request or an innovation exception, it will bypass the very structure identity is trying to create.</w:t>
      </w:r>
    </w:p>
    <w:p>
      <w:r>
        <w:t>This intake pulls AI actors back into the same governance system as every other actor.</w:t>
      </w:r>
    </w:p>
    <w:p>
      <w:pPr>
        <w:pStyle w:val="Heading1"/>
      </w:pPr>
      <w:r>
        <w:rPr>
          <w:color w:val="1B2A55"/>
        </w:rPr>
        <w:t>When to reach for it</w:t>
      </w:r>
    </w:p>
    <w:p>
      <w:r>
        <w:t>Reach for it before any AI system or agent is given access, and again at each review.</w:t>
      </w:r>
    </w:p>
    <w:p>
      <w:r>
        <w:t>If an AI actor is already live without one, fill it in now.</w:t>
      </w:r>
    </w:p>
    <w:p>
      <w:r>
        <w:rPr>
          <w:i/>
          <w:color w:val="4A5680"/>
          <w:sz w:val="21"/>
        </w:rPr>
        <w:t>This is the front door: fill it out first, before access is granted. For instance-by-instance attribution when an agent forks into parallel copies, use the Agent Lifecycle Intake Form. For the specific authority-overlap calculation between an agent and the person it acts for, use the AI Access Boundary Template.</w:t>
      </w:r>
    </w:p>
    <w:p>
      <w:pPr>
        <w:pStyle w:val="Heading1"/>
      </w:pPr>
      <w:r>
        <w:rPr>
          <w:color w:val="1B2A55"/>
        </w:rPr>
        <w:t>How to use it</w:t>
      </w:r>
    </w:p>
    <w:p>
      <w:pPr>
        <w:pStyle w:val="ListBullet"/>
      </w:pPr>
      <w:r>
        <w:t>Treat the boundaries as the heart of the form. What the agent may not do matters as much as what it may.</w:t>
      </w:r>
    </w:p>
    <w:p>
      <w:pPr>
        <w:pStyle w:val="ListBullet"/>
      </w:pPr>
      <w:r>
        <w:t>Require a logging plan before access, not after. You cannot review what you did not capture.</w:t>
      </w:r>
    </w:p>
    <w:p>
      <w:pPr>
        <w:pStyle w:val="ListBullet"/>
      </w:pPr>
      <w:r>
        <w:t>Decide the deactivation plan up front. An AI identity with no off switch is a standing risk.</w:t>
      </w:r>
    </w:p>
    <w:p>
      <w:pPr>
        <w:pStyle w:val="ListBullet"/>
      </w:pPr>
      <w:r>
        <w:t>Review on a set cadence, because AI scope tends to expand between reviews.</w:t>
      </w:r>
    </w:p>
    <w:p>
      <w:pPr>
        <w:pStyle w:val="Heading1"/>
      </w:pPr>
      <w:r>
        <w:rPr>
          <w:color w:val="1B2A55"/>
        </w:rPr>
        <w:t>A worked example</w:t>
      </w:r>
    </w:p>
    <w:p>
      <w:r>
        <w:t>*One block, filled in for a reconciliation agent.*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blHeader w:val="true"/>
        </w:trPr>
        <w:tc>
          <w:tcPr>
            <w:tcW w:type="dxa" w:w="4680"/>
          </w:tcPr>
          <w:p>
            <w:r/>
            <w:r>
              <w:rPr>
                <w:b/>
              </w:rPr>
              <w:t>AI identity name</w:t>
            </w:r>
          </w:p>
        </w:tc>
        <w:tc>
          <w:tcPr>
            <w:tcW w:type="dxa" w:w="4680"/>
          </w:tcPr>
          <w:p>
            <w:r>
              <w:t>billing-reconciler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Type</w:t>
            </w:r>
          </w:p>
        </w:tc>
        <w:tc>
          <w:tcPr>
            <w:tcW w:type="dxa" w:w="4680"/>
          </w:tcPr>
          <w:p>
            <w:r>
              <w:t>Agentic AI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Owner or sponsor</w:t>
            </w:r>
          </w:p>
        </w:tc>
        <w:tc>
          <w:tcPr>
            <w:tcW w:type="dxa" w:w="4680"/>
          </w:tcPr>
          <w:p>
            <w:r>
              <w:t>Revenue operations sponsor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Business purpose</w:t>
            </w:r>
          </w:p>
        </w:tc>
        <w:tc>
          <w:tcPr>
            <w:tcW w:type="dxa" w:w="4680"/>
          </w:tcPr>
          <w:p>
            <w:r>
              <w:t>Reconcile invoices against payments and flag mismatches for review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Delegated boundaries</w:t>
            </w:r>
          </w:p>
        </w:tc>
        <w:tc>
          <w:tcPr>
            <w:tcW w:type="dxa" w:w="4680"/>
          </w:tcPr>
          <w:p>
            <w:r>
              <w:t>May read invoices and payments; may flag and comment; may not issue credits, refunds, or write to the ledger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Systems touched</w:t>
            </w:r>
          </w:p>
        </w:tc>
        <w:tc>
          <w:tcPr>
            <w:tcW w:type="dxa" w:w="4680"/>
          </w:tcPr>
          <w:p>
            <w:r>
              <w:t>Billing (read), payments (read), reconciliation queue (write comments)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Access requested</w:t>
            </w:r>
          </w:p>
        </w:tc>
        <w:tc>
          <w:tcPr>
            <w:tcW w:type="dxa" w:w="4680"/>
          </w:tcPr>
          <w:p>
            <w:r>
              <w:t>Read-only on billing and payments; comment access on the reconciliation queue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Credentials used</w:t>
            </w:r>
          </w:p>
        </w:tc>
        <w:tc>
          <w:tcPr>
            <w:tcW w:type="dxa" w:w="4680"/>
          </w:tcPr>
          <w:p>
            <w:r>
              <w:t>Short-lived workload credential, rotated on a set schedule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Telemetry and logging plan</w:t>
            </w:r>
          </w:p>
        </w:tc>
        <w:tc>
          <w:tcPr>
            <w:tcW w:type="dxa" w:w="4680"/>
          </w:tcPr>
          <w:p>
            <w:r>
              <w:t>Every action logged with the agent identity and the intent of the call; logs retained per policy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Review cadence</w:t>
            </w:r>
          </w:p>
        </w:tc>
        <w:tc>
          <w:tcPr>
            <w:tcW w:type="dxa" w:w="4680"/>
          </w:tcPr>
          <w:p>
            <w:r>
              <w:t>At onboarding, then quarterly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Deactivation plan</w:t>
            </w:r>
          </w:p>
        </w:tc>
        <w:tc>
          <w:tcPr>
            <w:tcW w:type="dxa" w:w="4680"/>
          </w:tcPr>
          <w:p>
            <w:r>
              <w:t>Sponsor or IAM lead can disable the credential immediately; access auto-expires if the credential is not renewed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Approval signatures</w:t>
            </w:r>
          </w:p>
        </w:tc>
        <w:tc>
          <w:tcPr>
            <w:tcW w:type="dxa" w:w="4680"/>
          </w:tcPr>
          <w:p>
            <w:r>
              <w:t>Sponsor, IAM lead, data owner (payments)</w:t>
            </w:r>
          </w:p>
        </w:tc>
      </w:tr>
    </w:tbl>
    <w:p/>
    <w:p>
      <w:pPr>
        <w:pStyle w:val="Heading1"/>
      </w:pPr>
      <w:r>
        <w:rPr>
          <w:color w:val="1B2A55"/>
        </w:rPr>
        <w:t>The blank form</w:t>
      </w:r>
    </w:p>
    <w:p>
      <w:r>
        <w:t>*Fill a block for one AI identity. Copy this block for each additional AI system or agent.*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blHeader w:val="true"/>
        </w:trPr>
        <w:tc>
          <w:tcPr>
            <w:tcW w:type="dxa" w:w="4680"/>
          </w:tcPr>
          <w:p>
            <w:r/>
            <w:r>
              <w:rPr>
                <w:b/>
              </w:rPr>
              <w:t>AI identity name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Type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Owner or sponsor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Business purpose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Delegated boundaries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Systems touched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Access requested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Credentials used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Telemetry and logging plan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Review cadence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Deactivation plan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Approval signatures</w:t>
            </w:r>
          </w:p>
        </w:tc>
        <w:tc>
          <w:tcPr>
            <w:tcW w:type="dxa" w:w="4680"/>
          </w:tcPr>
          <w:p>
            <w:r/>
          </w:p>
        </w:tc>
      </w:tr>
    </w:tbl>
    <w:p/>
    <w:p>
      <w:pPr>
        <w:pStyle w:val="Heading1"/>
      </w:pPr>
      <w:r>
        <w:rPr>
          <w:color w:val="1B2A55"/>
        </w:rPr>
        <w:t>Field guidance</w:t>
      </w:r>
    </w:p>
    <w:p>
      <w:r>
        <w:t>*What belongs in each field, and why it earns its place.*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blHeader w:val="true"/>
        </w:trPr>
        <w:tc>
          <w:tcPr>
            <w:tcW w:type="dxa" w:w="4680"/>
          </w:tcPr>
          <w:p>
            <w:r/>
            <w:r>
              <w:rPr>
                <w:b/>
              </w:rPr>
              <w:t>Field</w:t>
            </w:r>
          </w:p>
        </w:tc>
        <w:tc>
          <w:tcPr>
            <w:tcW w:type="dxa" w:w="4680"/>
          </w:tcPr>
          <w:p>
            <w:r/>
            <w:r>
              <w:rPr>
                <w:b/>
              </w:rPr>
              <w:t>What goes here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AI identity name</w:t>
            </w:r>
          </w:p>
        </w:tc>
        <w:tc>
          <w:tcPr>
            <w:tcW w:type="dxa" w:w="4680"/>
          </w:tcPr>
          <w:p>
            <w:r>
              <w:t>The name the AI identity carries in your systems, so its actions can be traced to it.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Type</w:t>
            </w:r>
          </w:p>
        </w:tc>
        <w:tc>
          <w:tcPr>
            <w:tcW w:type="dxa" w:w="4680"/>
          </w:tcPr>
          <w:p>
            <w:r>
              <w:t>Whether this is an AI system or an agentic AI. The distinction affects how tightly boundaries and logging matter.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Owner or sponsor</w:t>
            </w:r>
          </w:p>
        </w:tc>
        <w:tc>
          <w:tcPr>
            <w:tcW w:type="dxa" w:w="4680"/>
          </w:tcPr>
          <w:p>
            <w:r>
              <w:t>The human role accountable for this AI identity. Every AI actor needs a named human owner.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Business purpose</w:t>
            </w:r>
          </w:p>
        </w:tc>
        <w:tc>
          <w:tcPr>
            <w:tcW w:type="dxa" w:w="4680"/>
          </w:tcPr>
          <w:p>
            <w:r>
              <w:t>Why the AI identity exists, in one plain sentence.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Delegated boundaries</w:t>
            </w:r>
          </w:p>
        </w:tc>
        <w:tc>
          <w:tcPr>
            <w:tcW w:type="dxa" w:w="4680"/>
          </w:tcPr>
          <w:p>
            <w:r>
              <w:t>What the agent may and may not do. This is the most important field on the form.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Systems touched</w:t>
            </w:r>
          </w:p>
        </w:tc>
        <w:tc>
          <w:tcPr>
            <w:tcW w:type="dxa" w:w="4680"/>
          </w:tcPr>
          <w:p>
            <w:r>
              <w:t>Every system the identity reaches, and at what level.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Access requested</w:t>
            </w:r>
          </w:p>
        </w:tc>
        <w:tc>
          <w:tcPr>
            <w:tcW w:type="dxa" w:w="4680"/>
          </w:tcPr>
          <w:p>
            <w:r>
              <w:t>The specific access being requested, scoped to the purpose.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Credentials used</w:t>
            </w:r>
          </w:p>
        </w:tc>
        <w:tc>
          <w:tcPr>
            <w:tcW w:type="dxa" w:w="4680"/>
          </w:tcPr>
          <w:p>
            <w:r>
              <w:t>What credential the identity carries, and how its life is bound and rotated.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Telemetry and logging plan</w:t>
            </w:r>
          </w:p>
        </w:tc>
        <w:tc>
          <w:tcPr>
            <w:tcW w:type="dxa" w:w="4680"/>
          </w:tcPr>
          <w:p>
            <w:r>
              <w:t>How the identity's actions are captured. Required before access, so reviews have something to review.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Review cadence</w:t>
            </w:r>
          </w:p>
        </w:tc>
        <w:tc>
          <w:tcPr>
            <w:tcW w:type="dxa" w:w="4680"/>
          </w:tcPr>
          <w:p>
            <w:r>
              <w:t>How often the AI identity is reviewed against its purpose and boundaries.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Deactivation plan</w:t>
            </w:r>
          </w:p>
        </w:tc>
        <w:tc>
          <w:tcPr>
            <w:tcW w:type="dxa" w:w="4680"/>
          </w:tcPr>
          <w:p>
            <w:r>
              <w:t>How the identity is turned off, both on demand and by default.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Approval signatures</w:t>
            </w:r>
          </w:p>
        </w:tc>
        <w:tc>
          <w:tcPr>
            <w:tcW w:type="dxa" w:w="4680"/>
          </w:tcPr>
          <w:p>
            <w:r>
              <w:t>Who signed off, so the decision has named accountability.</w:t>
            </w:r>
          </w:p>
        </w:tc>
      </w:tr>
    </w:tbl>
    <w:p/>
    <w:p>
      <w:r>
        <w:t>From The Modern Identity Operating Model by Becky Sandberg.  © 2026 Becky Sandberg.</w:t>
        <w:tab/>
        <w:t>Page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680"/>
        <w:sz w:val="16"/>
      </w:rPr>
      <w:t>© 2026 Becky Sandberg  ·  The Modern Identity Operating Model</w:t>
    </w:r>
    <w:r>
      <w:rPr>
        <w:color w:val="4A5680"/>
        <w:sz w:val="18"/>
      </w:rPr>
      <w:t xml:space="preserve">   ·   Page </w:t>
    </w:r>
    <w:fldSimple w:instr="PAGE">
      <w:r>
        <w:t>1</w:t>
      </w:r>
    </w:fldSimple>
  </w:p>
  <w:p>
    <w:pPr>
      <w:pStyle w:val="Footer"/>
      <w:jc w:val="center"/>
    </w:pPr>
    <w:r>
      <w:rPr>
        <w:color w:val="4A5680"/>
        <w:sz w:val="13"/>
      </w:rPr>
      <w:t xml:space="preserve">Free inside your organization; client use requires a license: beckysandberg.com/license  ·  Provided as is, without warranty. Not legal or regulatory advice.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506093" cy="50609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06093" cy="50609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