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B2A55"/>
          <w:sz w:val="16"/>
          <w:szCs w:val="16"/>
        </w:rPr>
        <w:t xml:space="preserve">THE MODERN IDENTITY OPERATING MODEL  ·  COMPANION WORKBOOK</w:t>
      </w:r>
    </w:p>
    <w:p>
      <w:pPr>
        <w:spacing w:after="60"/>
      </w:pPr>
      <w:r>
        <w:rPr>
          <w:b/>
          <w:color w:val="1B2A55"/>
          <w:sz w:val="48"/>
        </w:rPr>
        <w:t xml:space="preserve">Adoption Metrics Tracker</w:t>
      </w:r>
    </w:p>
    <w:p>
      <w:pPr>
        <w:spacing w:after="60"/>
      </w:pPr>
      <w:r>
        <w:rPr>
          <w:rFonts w:ascii="Calibri" w:cs="Calibri" w:eastAsia="Calibri" w:hAnsi="Calibri"/>
          <w:i/>
          <w:iCs/>
          <w:color w:val="4A5680"/>
          <w:sz w:val="22"/>
          <w:szCs w:val="22"/>
        </w:rPr>
        <w:t xml:space="preserve">Measure whether the model is being used, not just whether the technology is live.</w:t>
      </w:r>
    </w:p>
    <w:p>
      <w:pPr>
        <w:spacing w:after="240"/>
      </w:pPr>
      <w:r>
        <w:rPr>
          <w:rFonts w:ascii="Calibri" w:cs="Calibri" w:eastAsia="Calibri" w:hAnsi="Calibri"/>
          <w:i/>
          <w:iCs/>
          <w:color w:val="4A5680"/>
          <w:sz w:val="18"/>
          <w:szCs w:val="18"/>
        </w:rPr>
        <w:t xml:space="preserve">Adapted from Chapter 17 of The Modern Identity Operating Model by Becky Sandberg. © 2026 Becky Sandberg.</w:t>
      </w:r>
    </w:p>
    <w:p>
      <w:pPr>
        <w:spacing w:after="100" w:before="220"/>
      </w:pPr>
      <w:r>
        <w:rPr>
          <w:rFonts w:ascii="Calibri" w:cs="Calibri" w:eastAsia="Calibri" w:hAnsi="Calibri"/>
          <w:b/>
          <w:bCs/>
          <w:color w:val="1B2A55"/>
          <w:sz w:val="26"/>
          <w:szCs w:val="26"/>
        </w:rPr>
        <w:t xml:space="preserve">What this is</w:t>
      </w:r>
    </w:p>
    <w:p>
      <w:pPr>
        <w:spacing w:after="100"/>
      </w:pPr>
      <w:r>
        <w:rPr>
          <w:rFonts w:ascii="Calibri" w:cs="Calibri" w:eastAsia="Calibri" w:hAnsi="Calibri"/>
          <w:color w:val="1B2A55"/>
          <w:sz w:val="21"/>
          <w:szCs w:val="21"/>
        </w:rPr>
        <w:t xml:space="preserve">If adoption is not measured, teams assume it is happening because the technology is live, and that assumption is usually wrong. Adoption metrics are not operational metrics. Operational metrics tell you the system is functioning; adoption metrics tell you the model is being used. This tracker turns the book's adoption questions into a small set of measures, each with a source and an owner.</w:t>
      </w:r>
    </w:p>
    <w:p>
      <w:pPr>
        <w:spacing w:after="100" w:before="220"/>
      </w:pPr>
      <w:r>
        <w:rPr>
          <w:rFonts w:ascii="Calibri" w:cs="Calibri" w:eastAsia="Calibri" w:hAnsi="Calibri"/>
          <w:b/>
          <w:bCs/>
          <w:color w:val="1B2A55"/>
          <w:sz w:val="26"/>
          <w:szCs w:val="26"/>
        </w:rPr>
        <w:t xml:space="preserve">When to reach for it</w:t>
      </w:r>
    </w:p>
    <w:p>
      <w:pPr>
        <w:spacing w:after="100"/>
      </w:pPr>
      <w:r>
        <w:rPr>
          <w:rFonts w:ascii="Calibri" w:cs="Calibri" w:eastAsia="Calibri" w:hAnsi="Calibri"/>
          <w:color w:val="1B2A55"/>
          <w:sz w:val="21"/>
          <w:szCs w:val="21"/>
        </w:rPr>
        <w:t xml:space="preserve">Reach for it from rollout onward. Use it whenever live is being mistaken for working.</w:t>
      </w:r>
    </w:p>
    <w:p>
      <w:pPr>
        <w:spacing w:after="100" w:before="220"/>
      </w:pPr>
      <w:r>
        <w:rPr>
          <w:rFonts w:ascii="Calibri" w:cs="Calibri" w:eastAsia="Calibri" w:hAnsi="Calibri"/>
          <w:b/>
          <w:bCs/>
          <w:color w:val="1B2A55"/>
          <w:sz w:val="26"/>
          <w:szCs w:val="26"/>
        </w:rPr>
        <w:t xml:space="preserve">How to use it</w:t>
      </w:r>
    </w:p>
    <w:p>
      <w:pPr>
        <w:pStyle w:val="ListParagraph"/>
        <w:numPr>
          <w:ilvl w:val="0"/>
          <w:numId w:val="2"/>
        </w:numPr>
        <w:spacing w:after="70"/>
      </w:pPr>
      <w:r>
        <w:rPr>
          <w:rFonts w:ascii="Calibri" w:cs="Calibri" w:eastAsia="Calibri" w:hAnsi="Calibri"/>
          <w:color w:val="1B2A55"/>
          <w:sz w:val="21"/>
          <w:szCs w:val="21"/>
        </w:rPr>
        <w:t xml:space="preserve">Build from the book's adoption questions: do stakeholders understand the model, are owners fulfilling their responsibilities, did training change behavior, are new workflows being used, are exceptions rising or falling, is request quality improving, is review quality improving, and is AI oversight actually being followed.</w:t>
      </w:r>
    </w:p>
    <w:p>
      <w:pPr>
        <w:pStyle w:val="ListParagraph"/>
        <w:numPr>
          <w:ilvl w:val="0"/>
          <w:numId w:val="2"/>
        </w:numPr>
        <w:spacing w:after="70"/>
      </w:pPr>
      <w:r>
        <w:rPr>
          <w:rFonts w:ascii="Calibri" w:cs="Calibri" w:eastAsia="Calibri" w:hAnsi="Calibri"/>
          <w:color w:val="1B2A55"/>
          <w:sz w:val="21"/>
          <w:szCs w:val="21"/>
        </w:rPr>
        <w:t xml:space="preserve">For each, define a simple measure, where it comes from, and who owns it. Keep the set small.</w:t>
      </w:r>
    </w:p>
    <w:p>
      <w:pPr>
        <w:pStyle w:val="ListParagraph"/>
        <w:numPr>
          <w:ilvl w:val="0"/>
          <w:numId w:val="2"/>
        </w:numPr>
        <w:spacing w:after="70"/>
      </w:pPr>
      <w:r>
        <w:rPr>
          <w:rFonts w:ascii="Calibri" w:cs="Calibri" w:eastAsia="Calibri" w:hAnsi="Calibri"/>
          <w:color w:val="1B2A55"/>
          <w:sz w:val="21"/>
          <w:szCs w:val="21"/>
        </w:rPr>
        <w:t xml:space="preserve">Watch the direction over time rather than a single reading.</w:t>
      </w:r>
    </w:p>
    <w:p>
      <w:pPr>
        <w:pStyle w:val="ListParagraph"/>
        <w:numPr>
          <w:ilvl w:val="0"/>
          <w:numId w:val="2"/>
        </w:numPr>
        <w:spacing w:after="70"/>
      </w:pPr>
      <w:r>
        <w:rPr>
          <w:rFonts w:ascii="Calibri" w:cs="Calibri" w:eastAsia="Calibri" w:hAnsi="Calibri"/>
          <w:color w:val="1B2A55"/>
          <w:sz w:val="21"/>
          <w:szCs w:val="21"/>
        </w:rPr>
        <w:t xml:space="preserve">Keep adoption separate from operational metrics, so a live but unused rollout cannot hide behind a green screen.</w:t>
      </w:r>
    </w:p>
    <w:p>
      <w:pPr>
        <w:spacing w:after="100" w:before="220"/>
      </w:pPr>
      <w:r>
        <w:rPr>
          <w:rFonts w:ascii="Calibri" w:cs="Calibri" w:eastAsia="Calibri" w:hAnsi="Calibri"/>
          <w:b/>
          <w:bCs/>
          <w:color w:val="1B2A55"/>
          <w:sz w:val="26"/>
          <w:szCs w:val="26"/>
        </w:rPr>
        <w:t xml:space="preserve">A worked example</w:t>
      </w:r>
    </w:p>
    <w:p>
      <w:pPr>
        <w:spacing w:after="100"/>
      </w:pPr>
      <w:r>
        <w:rPr>
          <w:rFonts w:ascii="Calibri" w:cs="Calibri" w:eastAsia="Calibri" w:hAnsi="Calibri"/>
          <w:color w:val="1B2A55"/>
          <w:sz w:val="21"/>
          <w:szCs w:val="21"/>
        </w:rPr>
        <w:t xml:space="preserve">A small starter set. Replace the measures with the ones that fit your environment.</w:t>
      </w:r>
    </w:p>
    <w:tbl>
      <w:tblPr>
        <w:tblW w:type="auto" w:w="100"/>
        <w:tblBorders>
          <w:top w:val="single" w:color="D9D9E0" w:sz="4"/>
          <w:left w:val="single" w:color="D9D9E0" w:sz="4"/>
          <w:bottom w:val="single" w:color="D9D9E0" w:sz="4"/>
          <w:right w:val="single" w:color="D9D9E0" w:sz="4"/>
          <w:insideH w:val="single" w:color="D9D9E0" w:sz="4"/>
          <w:insideV w:val="single" w:color="D9D9E0" w:sz="4"/>
        </w:tblBorders>
      </w:tblPr>
      <w:tblGrid>
        <w:gridCol w:w="2450"/>
        <w:gridCol w:w="2350"/>
        <w:gridCol w:w="1700"/>
        <w:gridCol w:w="1560"/>
        <w:gridCol w:w="1300"/>
      </w:tblGrid>
      <w:tr>
        <w:trPr>
          <w:tblHeader/>
        </w:trPr>
        <w:tc>
          <w:tcPr>
            <w:tcW w:type="dxa" w:w="2450"/>
            <w:tcMar>
              <w:top w:type="dxa" w:w="40"/>
              <w:left w:type="dxa" w:w="70"/>
              <w:bottom w:type="dxa" w:w="40"/>
              <w:right w:type="dxa" w:w="70"/>
            </w:tcMar>
          </w:tcPr>
          <w:p>
            <w:r>
              <w:rPr>
                <w:rFonts w:ascii="Calibri" w:cs="Calibri" w:eastAsia="Calibri" w:hAnsi="Calibri"/>
                <w:b/>
                <w:bCs/>
                <w:color w:val="1B2A55"/>
                <w:sz w:val="17"/>
                <w:szCs w:val="17"/>
              </w:rPr>
              <w:t xml:space="preserve">Adoption question</w:t>
            </w:r>
          </w:p>
        </w:tc>
        <w:tc>
          <w:tcPr>
            <w:tcW w:type="dxa" w:w="2350"/>
            <w:tcMar>
              <w:top w:type="dxa" w:w="40"/>
              <w:left w:type="dxa" w:w="70"/>
              <w:bottom w:type="dxa" w:w="40"/>
              <w:right w:type="dxa" w:w="70"/>
            </w:tcMar>
          </w:tcPr>
          <w:p>
            <w:r>
              <w:rPr>
                <w:rFonts w:ascii="Calibri" w:cs="Calibri" w:eastAsia="Calibri" w:hAnsi="Calibri"/>
                <w:b/>
                <w:bCs/>
                <w:color w:val="1B2A55"/>
                <w:sz w:val="17"/>
                <w:szCs w:val="17"/>
              </w:rPr>
              <w:t xml:space="preserve">Measure</w:t>
            </w:r>
          </w:p>
        </w:tc>
        <w:tc>
          <w:tcPr>
            <w:tcW w:type="dxa" w:w="1700"/>
            <w:tcMar>
              <w:top w:type="dxa" w:w="40"/>
              <w:left w:type="dxa" w:w="70"/>
              <w:bottom w:type="dxa" w:w="40"/>
              <w:right w:type="dxa" w:w="70"/>
            </w:tcMar>
          </w:tcPr>
          <w:p>
            <w:r>
              <w:rPr>
                <w:rFonts w:ascii="Calibri" w:cs="Calibri" w:eastAsia="Calibri" w:hAnsi="Calibri"/>
                <w:b/>
                <w:bCs/>
                <w:color w:val="1B2A55"/>
                <w:sz w:val="17"/>
                <w:szCs w:val="17"/>
              </w:rPr>
              <w:t xml:space="preserve">Source</w:t>
            </w:r>
          </w:p>
        </w:tc>
        <w:tc>
          <w:tcPr>
            <w:tcW w:type="dxa" w:w="1560"/>
            <w:tcMar>
              <w:top w:type="dxa" w:w="40"/>
              <w:left w:type="dxa" w:w="70"/>
              <w:bottom w:type="dxa" w:w="40"/>
              <w:right w:type="dxa" w:w="70"/>
            </w:tcMar>
          </w:tcPr>
          <w:p>
            <w:r>
              <w:rPr>
                <w:rFonts w:ascii="Calibri" w:cs="Calibri" w:eastAsia="Calibri" w:hAnsi="Calibri"/>
                <w:b/>
                <w:bCs/>
                <w:color w:val="1B2A55"/>
                <w:sz w:val="17"/>
                <w:szCs w:val="17"/>
              </w:rPr>
              <w:t xml:space="preserve">Owner</w:t>
            </w:r>
          </w:p>
        </w:tc>
        <w:tc>
          <w:tcPr>
            <w:tcW w:type="dxa" w:w="1300"/>
            <w:tcMar>
              <w:top w:type="dxa" w:w="40"/>
              <w:left w:type="dxa" w:w="70"/>
              <w:bottom w:type="dxa" w:w="40"/>
              <w:right w:type="dxa" w:w="70"/>
            </w:tcMar>
          </w:tcPr>
          <w:p>
            <w:r>
              <w:rPr>
                <w:rFonts w:ascii="Calibri" w:cs="Calibri" w:eastAsia="Calibri" w:hAnsi="Calibri"/>
                <w:b/>
                <w:bCs/>
                <w:color w:val="1B2A55"/>
                <w:sz w:val="17"/>
                <w:szCs w:val="17"/>
              </w:rPr>
              <w:t xml:space="preserve">Direction</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Are owners fulfilling their responsibilities</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Reviews closed with real decisions</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Review records</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Governance analyst</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Did training change behavior</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Considered approvals vs blind ones</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Approval logs</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Change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Are new workflows being used</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Requests through the new path</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Request system</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Identity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Are exceptions rising or falling</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Open governance exceptions</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Exception record</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Governance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Falling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Is AI oversight being followed</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Agents with a named owner and boundary</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Register</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Identity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bl>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680"/>
        <w:sz w:val="16"/>
        <w:szCs w:val="16"/>
      </w:rPr>
      <w:t xml:space="preserve">©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2026-07-09T20:18:41.621Z</dcterms:created>
  <dcterms:modified xsi:type="dcterms:W3CDTF">2026-07-09T20:18:41.621Z</dcterms:modified>
</cp:coreProperties>
</file>

<file path=docProps/custom.xml><?xml version="1.0" encoding="utf-8"?>
<Properties xmlns="http://schemas.openxmlformats.org/officeDocument/2006/custom-properties" xmlns:vt="http://schemas.openxmlformats.org/officeDocument/2006/docPropsVTypes"/>
</file>