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aps/>
          <w:color w:val="4A5680"/>
          <w:sz w:val="17"/>
        </w:rPr>
        <w:t>THE MODERN IDENTITY OPERATING MODEL  ·  COMPANION WORKBOOK</w:t>
      </w:r>
    </w:p>
    <w:p>
      <w:r>
        <w:rPr>
          <w:b/>
          <w:color w:val="1B2A55"/>
          <w:sz w:val="48"/>
        </w:rPr>
        <w:t>Agent Lifecycle Intake Form</w:t>
      </w:r>
    </w:p>
    <w:p>
      <w:r>
        <w:rPr>
          <w:i/>
          <w:color w:val="4A5680"/>
          <w:sz w:val="17"/>
        </w:rPr>
        <w:t>Adapted from "Designing the Agent Lifecycle" and "Attribution Below the Identity Level" (Lifecycle and Access chapters) of The Modern Identity Operating Model.</w:t>
      </w:r>
    </w:p>
    <w:p/>
    <w:p>
      <w:r>
        <w:rPr>
          <w:i/>
          <w:color w:val="4A5680"/>
          <w:sz w:val="24"/>
        </w:rPr>
        <w:t>Bring AI and agentic identities into the lifecycle model with explicit ownership and boundaries.</w:t>
      </w:r>
    </w:p>
    <w:p>
      <w:r>
        <w:t>An agent's lifecycle does not begin when the tool is deployed. It begins when someone decides the agent should exist, and it must end clearly, not vaguely. If an agent can still act after its purpose has ended, its lifecycle was never fully designed. Use this form at intake, and keep it as the record the agent is reviewed and retired against. No one has agent lifecycle fully solved yet, so name the enforcement gaps plainly rather than pretend they are covered.</w:t>
      </w:r>
    </w:p>
    <w:p>
      <w:r>
        <w:rPr>
          <w:i/>
          <w:color w:val="4A5680"/>
          <w:sz w:val="21"/>
        </w:rPr>
        <w:t>Use this alongside, not instead of, the AI Identity Intake Form: that one is the front-door onboarding record for a new AI identity, this one is where forked instances get attributed back to a sponsor and a task. For the authority-overlap calculation itself, use the AI Access Boundary Template.</w:t>
      </w:r>
    </w:p>
    <w:p>
      <w:pPr>
        <w:pStyle w:val="Heading1"/>
      </w:pPr>
      <w:r>
        <w:t>How to use it</w:t>
      </w:r>
    </w:p>
    <w:p>
      <w:pPr>
        <w:pStyle w:val="ListBullet"/>
      </w:pPr>
      <w:r>
        <w:rPr>
          <w:sz w:val="22"/>
        </w:rPr>
        <w:t>Fill one form per agent at the point it is proposed, not after it is already live.</w:t>
      </w:r>
    </w:p>
    <w:p>
      <w:pPr>
        <w:pStyle w:val="ListBullet"/>
      </w:pPr>
      <w:r>
        <w:rPr>
          <w:sz w:val="22"/>
        </w:rPr>
        <w:t>Treat the sponsor and the delegation boundary as the fields that matter most; everything else supports them.</w:t>
      </w:r>
    </w:p>
    <w:p>
      <w:pPr>
        <w:pStyle w:val="ListBullet"/>
      </w:pPr>
      <w:r>
        <w:rPr>
          <w:sz w:val="22"/>
        </w:rPr>
        <w:t>If the agent can fork into parallel instances, read the attribution guidance below before you finish the form.</w:t>
      </w:r>
    </w:p>
    <w:p>
      <w:pPr>
        <w:pStyle w:val="ListBullet"/>
      </w:pPr>
      <w:r>
        <w:rPr>
          <w:sz w:val="22"/>
        </w:rPr>
        <w:t>Review on the cadence you set, and any time the agent's scope changes.</w:t>
      </w:r>
    </w:p>
    <w:p>
      <w:pPr>
        <w:pStyle w:val="Heading1"/>
      </w:pPr>
      <w:r>
        <w:rPr>
          <w:color w:val="1B2A55"/>
        </w:rPr>
        <w:t>Intake fields</w:t>
      </w:r>
    </w:p>
    <w:tbl>
      <w:tblPr>
        <w:tblStyle w:val="TableGrid"/>
        <w:tblW w:type="auto" w:w="0"/>
        <w:jc w:val="center"/>
        <w:tblLook w:firstColumn="1" w:firstRow="1" w:lastColumn="0" w:lastRow="0" w:noHBand="0" w:noVBand="1" w:val="04A0"/>
      </w:tblPr>
      <w:tblGrid>
        <w:gridCol w:w="3120"/>
        <w:gridCol w:w="3120"/>
        <w:gridCol w:w="3120"/>
      </w:tblGrid>
      <w:tr>
        <w:trPr>
          <w:tblHeader w:val="true"/>
        </w:trPr>
        <w:tc>
          <w:tcPr>
            <w:tcW w:type="dxa" w:w="3120"/>
          </w:tcPr>
          <w:p>
            <w:r/>
            <w:r>
              <w:rPr>
                <w:b/>
                <w:color w:val="1B2A55"/>
                <w:sz w:val="20"/>
              </w:rPr>
              <w:t>Field</w:t>
            </w:r>
          </w:p>
        </w:tc>
        <w:tc>
          <w:tcPr>
            <w:tcW w:type="dxa" w:w="3120"/>
          </w:tcPr>
          <w:p>
            <w:r/>
            <w:r>
              <w:rPr>
                <w:b/>
                <w:color w:val="1B2A55"/>
                <w:sz w:val="20"/>
              </w:rPr>
              <w:t>What it captures</w:t>
            </w:r>
          </w:p>
        </w:tc>
        <w:tc>
          <w:tcPr>
            <w:tcW w:type="dxa" w:w="3120"/>
          </w:tcPr>
          <w:p>
            <w:r/>
            <w:r>
              <w:rPr>
                <w:b/>
                <w:color w:val="1B2A55"/>
                <w:sz w:val="20"/>
              </w:rPr>
              <w:t>Example</w:t>
            </w:r>
          </w:p>
        </w:tc>
      </w:tr>
      <w:tr>
        <w:tc>
          <w:tcPr>
            <w:tcW w:type="dxa" w:w="3120"/>
          </w:tcPr>
          <w:p>
            <w:r/>
            <w:r>
              <w:rPr>
                <w:b/>
                <w:sz w:val="20"/>
              </w:rPr>
              <w:t>Agent name</w:t>
            </w:r>
          </w:p>
        </w:tc>
        <w:tc>
          <w:tcPr>
            <w:tcW w:type="dxa" w:w="3120"/>
          </w:tcPr>
          <w:p>
            <w:r/>
            <w:r>
              <w:rPr>
                <w:sz w:val="20"/>
              </w:rPr>
              <w:t>The identity being onboarded</w:t>
            </w:r>
          </w:p>
        </w:tc>
        <w:tc>
          <w:tcPr>
            <w:tcW w:type="dxa" w:w="3120"/>
          </w:tcPr>
          <w:p>
            <w:r/>
            <w:r>
              <w:rPr>
                <w:sz w:val="20"/>
              </w:rPr>
              <w:t>invoice-triage-agent</w:t>
            </w:r>
          </w:p>
        </w:tc>
      </w:tr>
      <w:tr>
        <w:tc>
          <w:tcPr>
            <w:tcW w:type="dxa" w:w="3120"/>
          </w:tcPr>
          <w:p>
            <w:r/>
            <w:r>
              <w:rPr>
                <w:b/>
                <w:sz w:val="20"/>
              </w:rPr>
              <w:t>Type</w:t>
            </w:r>
          </w:p>
        </w:tc>
        <w:tc>
          <w:tcPr>
            <w:tcW w:type="dxa" w:w="3120"/>
          </w:tcPr>
          <w:p>
            <w:r/>
            <w:r>
              <w:rPr>
                <w:sz w:val="20"/>
              </w:rPr>
              <w:t>AI system or agentic AI</w:t>
            </w:r>
          </w:p>
        </w:tc>
        <w:tc>
          <w:tcPr>
            <w:tcW w:type="dxa" w:w="3120"/>
          </w:tcPr>
          <w:p>
            <w:r/>
            <w:r>
              <w:rPr>
                <w:sz w:val="20"/>
              </w:rPr>
              <w:t>Agentic AI</w:t>
            </w:r>
          </w:p>
        </w:tc>
      </w:tr>
      <w:tr>
        <w:tc>
          <w:tcPr>
            <w:tcW w:type="dxa" w:w="3120"/>
          </w:tcPr>
          <w:p>
            <w:r/>
            <w:r>
              <w:rPr>
                <w:b/>
                <w:sz w:val="20"/>
              </w:rPr>
              <w:t>Sponsor / owner</w:t>
            </w:r>
          </w:p>
        </w:tc>
        <w:tc>
          <w:tcPr>
            <w:tcW w:type="dxa" w:w="3120"/>
          </w:tcPr>
          <w:p>
            <w:r/>
            <w:r>
              <w:rPr>
                <w:sz w:val="20"/>
              </w:rPr>
              <w:t>The human accountable for it, a name not a team</w:t>
            </w:r>
          </w:p>
        </w:tc>
        <w:tc>
          <w:tcPr>
            <w:tcW w:type="dxa" w:w="3120"/>
          </w:tcPr>
          <w:p>
            <w:r/>
            <w:r>
              <w:rPr>
                <w:sz w:val="20"/>
              </w:rPr>
              <w:t>AP manager</w:t>
            </w:r>
          </w:p>
        </w:tc>
      </w:tr>
      <w:tr>
        <w:tc>
          <w:tcPr>
            <w:tcW w:type="dxa" w:w="3120"/>
          </w:tcPr>
          <w:p>
            <w:r/>
            <w:r>
              <w:rPr>
                <w:b/>
                <w:sz w:val="20"/>
              </w:rPr>
              <w:t>Acts on behalf of</w:t>
            </w:r>
          </w:p>
        </w:tc>
        <w:tc>
          <w:tcPr>
            <w:tcW w:type="dxa" w:w="3120"/>
          </w:tcPr>
          <w:p>
            <w:r/>
            <w:r>
              <w:rPr>
                <w:sz w:val="20"/>
              </w:rPr>
              <w:t>The person or role whose authority it borrows</w:t>
            </w:r>
          </w:p>
        </w:tc>
        <w:tc>
          <w:tcPr>
            <w:tcW w:type="dxa" w:w="3120"/>
          </w:tcPr>
          <w:p>
            <w:r/>
            <w:r>
              <w:rPr>
                <w:sz w:val="20"/>
              </w:rPr>
              <w:t>AP clerk role</w:t>
            </w:r>
          </w:p>
        </w:tc>
      </w:tr>
      <w:tr>
        <w:tc>
          <w:tcPr>
            <w:tcW w:type="dxa" w:w="3120"/>
          </w:tcPr>
          <w:p>
            <w:r/>
            <w:r>
              <w:rPr>
                <w:b/>
                <w:sz w:val="20"/>
              </w:rPr>
              <w:t>Business purpose</w:t>
            </w:r>
          </w:p>
        </w:tc>
        <w:tc>
          <w:tcPr>
            <w:tcW w:type="dxa" w:w="3120"/>
          </w:tcPr>
          <w:p>
            <w:r/>
            <w:r>
              <w:rPr>
                <w:sz w:val="20"/>
              </w:rPr>
              <w:t>Why it exists, in one sentence</w:t>
            </w:r>
          </w:p>
        </w:tc>
        <w:tc>
          <w:tcPr>
            <w:tcW w:type="dxa" w:w="3120"/>
          </w:tcPr>
          <w:p>
            <w:r/>
            <w:r>
              <w:rPr>
                <w:sz w:val="20"/>
              </w:rPr>
              <w:t>Draft invoice matches for human approval</w:t>
            </w:r>
          </w:p>
        </w:tc>
      </w:tr>
      <w:tr>
        <w:tc>
          <w:tcPr>
            <w:tcW w:type="dxa" w:w="3120"/>
          </w:tcPr>
          <w:p>
            <w:r/>
            <w:r>
              <w:rPr>
                <w:b/>
                <w:sz w:val="20"/>
              </w:rPr>
              <w:t>Delegation boundary</w:t>
            </w:r>
          </w:p>
        </w:tc>
        <w:tc>
          <w:tcPr>
            <w:tcW w:type="dxa" w:w="3120"/>
          </w:tcPr>
          <w:p>
            <w:r/>
            <w:r>
              <w:rPr>
                <w:sz w:val="20"/>
              </w:rPr>
              <w:t>What it may do and what stays out of bounds</w:t>
            </w:r>
          </w:p>
        </w:tc>
        <w:tc>
          <w:tcPr>
            <w:tcW w:type="dxa" w:w="3120"/>
          </w:tcPr>
          <w:p>
            <w:r/>
            <w:r>
              <w:rPr>
                <w:sz w:val="20"/>
              </w:rPr>
              <w:t>May read invoices; may not post payments</w:t>
            </w:r>
          </w:p>
        </w:tc>
      </w:tr>
      <w:tr>
        <w:tc>
          <w:tcPr>
            <w:tcW w:type="dxa" w:w="3120"/>
          </w:tcPr>
          <w:p>
            <w:r/>
            <w:r>
              <w:rPr>
                <w:b/>
                <w:sz w:val="20"/>
              </w:rPr>
              <w:t>Systems touched</w:t>
            </w:r>
          </w:p>
        </w:tc>
        <w:tc>
          <w:tcPr>
            <w:tcW w:type="dxa" w:w="3120"/>
          </w:tcPr>
          <w:p>
            <w:r/>
            <w:r>
              <w:rPr>
                <w:sz w:val="20"/>
              </w:rPr>
              <w:t>Where it acts</w:t>
            </w:r>
          </w:p>
        </w:tc>
        <w:tc>
          <w:tcPr>
            <w:tcW w:type="dxa" w:w="3120"/>
          </w:tcPr>
          <w:p>
            <w:r/>
            <w:r>
              <w:rPr>
                <w:sz w:val="20"/>
              </w:rPr>
              <w:t>ERP (read), ticketing (write)</w:t>
            </w:r>
          </w:p>
        </w:tc>
      </w:tr>
      <w:tr>
        <w:tc>
          <w:tcPr>
            <w:tcW w:type="dxa" w:w="3120"/>
          </w:tcPr>
          <w:p>
            <w:r/>
            <w:r>
              <w:rPr>
                <w:b/>
                <w:sz w:val="20"/>
              </w:rPr>
              <w:t>Scoped credentials</w:t>
            </w:r>
          </w:p>
        </w:tc>
        <w:tc>
          <w:tcPr>
            <w:tcW w:type="dxa" w:w="3120"/>
          </w:tcPr>
          <w:p>
            <w:r/>
            <w:r>
              <w:rPr>
                <w:sz w:val="20"/>
              </w:rPr>
              <w:t>What it is issued and how it is bound</w:t>
            </w:r>
          </w:p>
        </w:tc>
        <w:tc>
          <w:tcPr>
            <w:tcW w:type="dxa" w:w="3120"/>
          </w:tcPr>
          <w:p>
            <w:r/>
            <w:r>
              <w:rPr>
                <w:sz w:val="20"/>
              </w:rPr>
              <w:t>Short-lived token, instance-bound</w:t>
            </w:r>
          </w:p>
        </w:tc>
      </w:tr>
      <w:tr>
        <w:tc>
          <w:tcPr>
            <w:tcW w:type="dxa" w:w="3120"/>
          </w:tcPr>
          <w:p>
            <w:r/>
            <w:r>
              <w:rPr>
                <w:b/>
                <w:sz w:val="20"/>
              </w:rPr>
              <w:t>Monitoring &amp; telemetry</w:t>
            </w:r>
          </w:p>
        </w:tc>
        <w:tc>
          <w:tcPr>
            <w:tcW w:type="dxa" w:w="3120"/>
          </w:tcPr>
          <w:p>
            <w:r/>
            <w:r>
              <w:rPr>
                <w:sz w:val="20"/>
              </w:rPr>
              <w:t>What is logged, including intent</w:t>
            </w:r>
          </w:p>
        </w:tc>
        <w:tc>
          <w:tcPr>
            <w:tcW w:type="dxa" w:w="3120"/>
          </w:tcPr>
          <w:p>
            <w:r/>
            <w:r>
              <w:rPr>
                <w:sz w:val="20"/>
              </w:rPr>
              <w:t>Tool calls logged with instance and intent</w:t>
            </w:r>
          </w:p>
        </w:tc>
      </w:tr>
      <w:tr>
        <w:tc>
          <w:tcPr>
            <w:tcW w:type="dxa" w:w="3120"/>
          </w:tcPr>
          <w:p>
            <w:r/>
            <w:r>
              <w:rPr>
                <w:b/>
                <w:sz w:val="20"/>
              </w:rPr>
              <w:t>Review cadence</w:t>
            </w:r>
          </w:p>
        </w:tc>
        <w:tc>
          <w:tcPr>
            <w:tcW w:type="dxa" w:w="3120"/>
          </w:tcPr>
          <w:p>
            <w:r/>
            <w:r>
              <w:rPr>
                <w:sz w:val="20"/>
              </w:rPr>
              <w:t>When it is re-examined</w:t>
            </w:r>
          </w:p>
        </w:tc>
        <w:tc>
          <w:tcPr>
            <w:tcW w:type="dxa" w:w="3120"/>
          </w:tcPr>
          <w:p>
            <w:r/>
            <w:r>
              <w:rPr>
                <w:sz w:val="20"/>
              </w:rPr>
              <w:t>Monthly</w:t>
            </w:r>
          </w:p>
        </w:tc>
      </w:tr>
      <w:tr>
        <w:tc>
          <w:tcPr>
            <w:tcW w:type="dxa" w:w="3120"/>
          </w:tcPr>
          <w:p>
            <w:r/>
            <w:r>
              <w:rPr>
                <w:b/>
                <w:sz w:val="20"/>
              </w:rPr>
              <w:t>Deactivation &amp; cleanup plan</w:t>
            </w:r>
          </w:p>
        </w:tc>
        <w:tc>
          <w:tcPr>
            <w:tcW w:type="dxa" w:w="3120"/>
          </w:tcPr>
          <w:p>
            <w:r/>
            <w:r>
              <w:rPr>
                <w:sz w:val="20"/>
              </w:rPr>
              <w:t>How it is ended and its credentials revoked</w:t>
            </w:r>
          </w:p>
        </w:tc>
        <w:tc>
          <w:tcPr>
            <w:tcW w:type="dxa" w:w="3120"/>
          </w:tcPr>
          <w:p>
            <w:r/>
            <w:r>
              <w:rPr>
                <w:sz w:val="20"/>
              </w:rPr>
              <w:t>Owner confirms done, token revoked</w:t>
            </w:r>
          </w:p>
        </w:tc>
      </w:tr>
      <w:tr>
        <w:tc>
          <w:tcPr>
            <w:tcW w:type="dxa" w:w="3120"/>
          </w:tcPr>
          <w:p>
            <w:r/>
            <w:r>
              <w:rPr>
                <w:b/>
                <w:sz w:val="20"/>
              </w:rPr>
              <w:t>Approval signatures</w:t>
            </w:r>
          </w:p>
        </w:tc>
        <w:tc>
          <w:tcPr>
            <w:tcW w:type="dxa" w:w="3120"/>
          </w:tcPr>
          <w:p>
            <w:r/>
            <w:r>
              <w:rPr>
                <w:sz w:val="20"/>
              </w:rPr>
              <w:t>Who approved intake</w:t>
            </w:r>
          </w:p>
        </w:tc>
        <w:tc>
          <w:tcPr>
            <w:tcW w:type="dxa" w:w="3120"/>
          </w:tcPr>
          <w:p>
            <w:r/>
            <w:r>
              <w:rPr>
                <w:sz w:val="20"/>
              </w:rPr>
              <w:t>Sponsor + IAM lead</w:t>
            </w:r>
          </w:p>
        </w:tc>
      </w:tr>
    </w:tbl>
    <w:p/>
    <w:p>
      <w:pPr>
        <w:pStyle w:val="Heading1"/>
      </w:pPr>
      <w:r>
        <w:rPr>
          <w:color w:val="1B2A55"/>
        </w:rPr>
        <w:t>Attribution below the identity level</w:t>
      </w:r>
    </w:p>
    <w:p>
      <w:r>
        <w:t>An agent can fork into parallel instances: the identity is one, the activity is many. Record how attribution is preserved so a review can answer which instance acted, and why.</w:t>
      </w:r>
    </w:p>
    <w:p>
      <w:pPr>
        <w:pStyle w:val="ListBullet"/>
      </w:pPr>
      <w:r>
        <w:t>Instance binding: each forked instance ties back to the agent, the sponsor, and the task it was spun up to do. Ephemeral does not mean anonymous.</w:t>
      </w:r>
    </w:p>
    <w:p>
      <w:pPr>
        <w:pStyle w:val="ListBullet"/>
      </w:pPr>
      <w:r>
        <w:t>Intent capture: the log records that this instance, under this delegation, made this call for this reason, not merely that a tool call happened.</w:t>
      </w:r>
    </w:p>
    <w:p>
      <w:pPr>
        <w:pStyle w:val="ListBullet"/>
      </w:pPr>
      <w:r>
        <w:t>Enforcement gaps: name plainly where authority can leave the credential you control (a system that authenticates its own way, a cached token, a sub-agent it spawned).</w:t>
      </w:r>
    </w:p>
    <w:p>
      <w:pPr>
        <w:pStyle w:val="Heading2"/>
      </w:pPr>
      <w:r>
        <w:rPr>
          <w:color w:val="1B2A55"/>
        </w:rPr>
        <w:t>Blank template to fill</w:t>
      </w:r>
    </w:p>
    <w:tbl>
      <w:tblPr>
        <w:tblStyle w:val="TableGrid"/>
        <w:tblW w:type="auto" w:w="0"/>
        <w:tblLook w:firstColumn="1" w:firstRow="1" w:lastColumn="0" w:lastRow="0" w:noHBand="0" w:noVBand="1" w:val="04A0"/>
      </w:tblPr>
      <w:tblGrid>
        <w:gridCol w:w="4680"/>
        <w:gridCol w:w="4680"/>
      </w:tblGrid>
      <w:tr>
        <w:trPr>
          <w:tblHeader w:val="true"/>
        </w:trPr>
        <w:tc>
          <w:tcPr>
            <w:tcW w:type="dxa" w:w="4680"/>
          </w:tcPr>
          <w:p>
            <w:r/>
            <w:r>
              <w:rPr>
                <w:b/>
                <w:sz w:val="20"/>
              </w:rPr>
              <w:t>Agent name</w:t>
            </w:r>
          </w:p>
        </w:tc>
        <w:tc>
          <w:tcPr>
            <w:tcW w:type="dxa" w:w="4680"/>
          </w:tcPr>
          <w:p>
            <w:r/>
            <w:r>
              <w:t xml:space="preserve"> </w:t>
            </w:r>
          </w:p>
        </w:tc>
      </w:tr>
      <w:tr>
        <w:tc>
          <w:tcPr>
            <w:tcW w:type="dxa" w:w="4680"/>
          </w:tcPr>
          <w:p>
            <w:r/>
            <w:r>
              <w:rPr>
                <w:b/>
                <w:sz w:val="20"/>
              </w:rPr>
              <w:t>Type</w:t>
            </w:r>
          </w:p>
        </w:tc>
        <w:tc>
          <w:tcPr>
            <w:tcW w:type="dxa" w:w="4680"/>
          </w:tcPr>
          <w:p>
            <w:r/>
            <w:r>
              <w:t xml:space="preserve"> </w:t>
            </w:r>
          </w:p>
        </w:tc>
      </w:tr>
      <w:tr>
        <w:tc>
          <w:tcPr>
            <w:tcW w:type="dxa" w:w="4680"/>
          </w:tcPr>
          <w:p>
            <w:r/>
            <w:r>
              <w:rPr>
                <w:b/>
                <w:sz w:val="20"/>
              </w:rPr>
              <w:t>Sponsor / owner</w:t>
            </w:r>
          </w:p>
        </w:tc>
        <w:tc>
          <w:tcPr>
            <w:tcW w:type="dxa" w:w="4680"/>
          </w:tcPr>
          <w:p>
            <w:r/>
            <w:r>
              <w:t xml:space="preserve"> </w:t>
            </w:r>
          </w:p>
        </w:tc>
      </w:tr>
      <w:tr>
        <w:tc>
          <w:tcPr>
            <w:tcW w:type="dxa" w:w="4680"/>
          </w:tcPr>
          <w:p>
            <w:r/>
            <w:r>
              <w:rPr>
                <w:b/>
                <w:sz w:val="20"/>
              </w:rPr>
              <w:t>Acts on behalf of</w:t>
            </w:r>
          </w:p>
        </w:tc>
        <w:tc>
          <w:tcPr>
            <w:tcW w:type="dxa" w:w="4680"/>
          </w:tcPr>
          <w:p>
            <w:r/>
            <w:r>
              <w:t xml:space="preserve"> </w:t>
            </w:r>
          </w:p>
        </w:tc>
      </w:tr>
      <w:tr>
        <w:tc>
          <w:tcPr>
            <w:tcW w:type="dxa" w:w="4680"/>
          </w:tcPr>
          <w:p>
            <w:r/>
            <w:r>
              <w:rPr>
                <w:b/>
                <w:sz w:val="20"/>
              </w:rPr>
              <w:t>Business purpose</w:t>
            </w:r>
          </w:p>
        </w:tc>
        <w:tc>
          <w:tcPr>
            <w:tcW w:type="dxa" w:w="4680"/>
          </w:tcPr>
          <w:p>
            <w:r/>
            <w:r>
              <w:t xml:space="preserve"> </w:t>
            </w:r>
          </w:p>
        </w:tc>
      </w:tr>
      <w:tr>
        <w:tc>
          <w:tcPr>
            <w:tcW w:type="dxa" w:w="4680"/>
          </w:tcPr>
          <w:p>
            <w:r/>
            <w:r>
              <w:rPr>
                <w:b/>
                <w:sz w:val="20"/>
              </w:rPr>
              <w:t>Delegation boundary</w:t>
            </w:r>
          </w:p>
        </w:tc>
        <w:tc>
          <w:tcPr>
            <w:tcW w:type="dxa" w:w="4680"/>
          </w:tcPr>
          <w:p>
            <w:r/>
            <w:r>
              <w:t xml:space="preserve"> </w:t>
            </w:r>
          </w:p>
        </w:tc>
      </w:tr>
      <w:tr>
        <w:tc>
          <w:tcPr>
            <w:tcW w:type="dxa" w:w="4680"/>
          </w:tcPr>
          <w:p>
            <w:r/>
            <w:r>
              <w:rPr>
                <w:b/>
                <w:sz w:val="20"/>
              </w:rPr>
              <w:t>Systems touched</w:t>
            </w:r>
          </w:p>
        </w:tc>
        <w:tc>
          <w:tcPr>
            <w:tcW w:type="dxa" w:w="4680"/>
          </w:tcPr>
          <w:p>
            <w:r/>
            <w:r>
              <w:t xml:space="preserve"> </w:t>
            </w:r>
          </w:p>
        </w:tc>
      </w:tr>
      <w:tr>
        <w:tc>
          <w:tcPr>
            <w:tcW w:type="dxa" w:w="4680"/>
          </w:tcPr>
          <w:p>
            <w:r/>
            <w:r>
              <w:rPr>
                <w:b/>
                <w:sz w:val="20"/>
              </w:rPr>
              <w:t>Scoped credentials</w:t>
            </w:r>
          </w:p>
        </w:tc>
        <w:tc>
          <w:tcPr>
            <w:tcW w:type="dxa" w:w="4680"/>
          </w:tcPr>
          <w:p>
            <w:r/>
            <w:r>
              <w:t xml:space="preserve"> </w:t>
            </w:r>
          </w:p>
        </w:tc>
      </w:tr>
      <w:tr>
        <w:tc>
          <w:tcPr>
            <w:tcW w:type="dxa" w:w="4680"/>
          </w:tcPr>
          <w:p>
            <w:r/>
            <w:r>
              <w:rPr>
                <w:b/>
                <w:sz w:val="20"/>
              </w:rPr>
              <w:t>Monitoring &amp; telemetry (incl. intent)</w:t>
            </w:r>
          </w:p>
        </w:tc>
        <w:tc>
          <w:tcPr>
            <w:tcW w:type="dxa" w:w="4680"/>
          </w:tcPr>
          <w:p>
            <w:r/>
            <w:r>
              <w:t xml:space="preserve"> </w:t>
            </w:r>
          </w:p>
        </w:tc>
      </w:tr>
      <w:tr>
        <w:tc>
          <w:tcPr>
            <w:tcW w:type="dxa" w:w="4680"/>
          </w:tcPr>
          <w:p>
            <w:r/>
            <w:r>
              <w:rPr>
                <w:b/>
                <w:sz w:val="20"/>
              </w:rPr>
              <w:t>Review cadence</w:t>
            </w:r>
          </w:p>
        </w:tc>
        <w:tc>
          <w:tcPr>
            <w:tcW w:type="dxa" w:w="4680"/>
          </w:tcPr>
          <w:p>
            <w:r/>
            <w:r>
              <w:t xml:space="preserve"> </w:t>
            </w:r>
          </w:p>
        </w:tc>
      </w:tr>
      <w:tr>
        <w:tc>
          <w:tcPr>
            <w:tcW w:type="dxa" w:w="4680"/>
          </w:tcPr>
          <w:p>
            <w:r/>
            <w:r>
              <w:rPr>
                <w:b/>
                <w:sz w:val="20"/>
              </w:rPr>
              <w:t>Deactivation &amp; cleanup plan</w:t>
            </w:r>
          </w:p>
        </w:tc>
        <w:tc>
          <w:tcPr>
            <w:tcW w:type="dxa" w:w="4680"/>
          </w:tcPr>
          <w:p>
            <w:r/>
            <w:r>
              <w:t xml:space="preserve"> </w:t>
            </w:r>
          </w:p>
        </w:tc>
      </w:tr>
      <w:tr>
        <w:tc>
          <w:tcPr>
            <w:tcW w:type="dxa" w:w="4680"/>
          </w:tcPr>
          <w:p>
            <w:r/>
            <w:r>
              <w:rPr>
                <w:b/>
                <w:sz w:val="20"/>
              </w:rPr>
              <w:t>Known enforcement gaps</w:t>
            </w:r>
          </w:p>
        </w:tc>
        <w:tc>
          <w:tcPr>
            <w:tcW w:type="dxa" w:w="4680"/>
          </w:tcPr>
          <w:p>
            <w:r/>
            <w:r>
              <w:t xml:space="preserve"> </w:t>
            </w:r>
          </w:p>
        </w:tc>
      </w:tr>
      <w:tr>
        <w:tc>
          <w:tcPr>
            <w:tcW w:type="dxa" w:w="4680"/>
          </w:tcPr>
          <w:p>
            <w:r/>
            <w:r>
              <w:rPr>
                <w:b/>
                <w:sz w:val="20"/>
              </w:rPr>
              <w:t>Approval signatures</w:t>
            </w:r>
          </w:p>
        </w:tc>
        <w:tc>
          <w:tcPr>
            <w:tcW w:type="dxa" w:w="4680"/>
          </w:tcPr>
          <w:p>
            <w:r/>
            <w:r>
              <w:t xml:space="preserve"> </w:t>
            </w:r>
          </w:p>
        </w:tc>
      </w:tr>
    </w:tbl>
    <w:p/>
    <w:sectPr w:rsidR="00FC693F" w:rsidRPr="0006063C" w:rsidSect="00034616">
      <w:footerReference w:type="default" r:id="rId9"/>
      <w:head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680"/>
        <w:sz w:val="16"/>
      </w:rPr>
      <w:t>©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beckysandberg.com/license  ·  Provided as is, without warranty. Not legal or regulatory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