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Decision-Rights Matrix (RACI)</w:t>
      </w:r>
    </w:p>
    <w:p>
      <w:r>
        <w:rPr>
          <w:i/>
          <w:color w:val="4A5680"/>
          <w:sz w:val="24"/>
        </w:rPr>
        <w:t>Who decides, who approves, and what has to be true before a yes.</w:t>
      </w:r>
    </w:p>
    <w:p>
      <w:r>
        <w:rPr>
          <w:i/>
          <w:color w:val="4A5680"/>
          <w:sz w:val="17"/>
        </w:rPr>
        <w:t>Adapted from Chapter 24 of The Modern Identity Operating Model by Becky Sandberg. © 2026 Becky Sandberg.</w:t>
      </w:r>
    </w:p>
    <w:p/>
    <w:p>
      <w:pPr>
        <w:pStyle w:val="Heading1"/>
      </w:pPr>
      <w:r>
        <w:rPr>
          <w:color w:val="1B2A55"/>
        </w:rPr>
        <w:t>What this is</w:t>
      </w:r>
    </w:p>
    <w:p>
      <w:r>
        <w:t>Identity work slows down, or turns chaotic, when no one knows who decides. The decision-rights matrix makes that explicit. It is a documented answer to who decides, who approves, who is consulted, and who is informed for the identity decisions that otherwise get made by whoever happens to be in the room.</w:t>
      </w:r>
    </w:p>
    <w:p>
      <w:r>
        <w:t>This artifact goes by many names: a RACI, a decision matrix, a DACI, a RAPID. The label matters far less than whether the thing exists at all. Call it whatever your organization already understands. The discipline is having decision rights written down, not the name on the document.</w:t>
      </w:r>
    </w:p>
    <w:p>
      <w:pPr>
        <w:pStyle w:val="Heading1"/>
      </w:pPr>
      <w:r>
        <w:rPr>
          <w:color w:val="1B2A55"/>
        </w:rPr>
        <w:t>When to reach for it</w:t>
      </w:r>
    </w:p>
    <w:p>
      <w:r>
        <w:t>Reach for it when approvals are slow or inconsistent, when the same decision gets made differently depending on who is in the room, or when "I thought someone else owned that" keeps happening.</w:t>
      </w:r>
    </w:p>
    <w:p>
      <w:r>
        <w:t>It is also one of the easiest ways to explain governance to leaders who do not live in identity every day, because it answers their first question: who is accountable for this. A clear matrix reduces approval confusion, governance drift, and blame shifting.</w:t>
      </w:r>
    </w:p>
    <w:p>
      <w:pPr>
        <w:pStyle w:val="Heading1"/>
      </w:pPr>
      <w:r>
        <w:rPr>
          <w:color w:val="1B2A55"/>
        </w:rPr>
        <w:t>How to use it</w:t>
      </w:r>
    </w:p>
    <w:p>
      <w:pPr>
        <w:pStyle w:val="ListBullet"/>
      </w:pPr>
      <w:r>
        <w:t>List the identity decisions that actually cause friction today. Start with the handful that stall most often.</w:t>
      </w:r>
    </w:p>
    <w:p>
      <w:pPr>
        <w:pStyle w:val="ListBullet"/>
      </w:pPr>
      <w:r>
        <w:t>For each one, name the role in every column. Use roles, not individual names, so the matrix holds as people come and go.</w:t>
      </w:r>
    </w:p>
    <w:p>
      <w:pPr>
        <w:pStyle w:val="ListBullet"/>
      </w:pPr>
      <w:r>
        <w:t>Read the worked example alongside your own. Where your honest answer is "it depends," you have found a decision right you have not settled yet.</w:t>
      </w:r>
    </w:p>
    <w:p>
      <w:pPr>
        <w:pStyle w:val="ListBullet"/>
      </w:pPr>
      <w:r>
        <w:t>Put the matrix where the work happens, and revisit it on the cadence you set. Keep it current, because people will trust it.</w:t>
      </w:r>
    </w:p>
    <w:p>
      <w:pPr>
        <w:pStyle w:val="Heading1"/>
      </w:pPr>
      <w:r>
        <w:rPr>
          <w:color w:val="1B2A55"/>
        </w:rPr>
        <w:t>A worked example</w:t>
      </w:r>
    </w:p>
    <w:p>
      <w:r>
        <w:t>*A realistic matrix for a mid-sized organization. The roles are examples. Replace them with the roles your organization actually uses.*</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rPr>
              <w:t>Decision</w:t>
            </w:r>
          </w:p>
        </w:tc>
        <w:tc>
          <w:tcPr>
            <w:tcW w:type="dxa" w:w="1560"/>
          </w:tcPr>
          <w:p>
            <w:r/>
            <w:r>
              <w:rPr>
                <w:b/>
              </w:rPr>
              <w:t>Primary approver</w:t>
            </w:r>
          </w:p>
        </w:tc>
        <w:tc>
          <w:tcPr>
            <w:tcW w:type="dxa" w:w="1560"/>
          </w:tcPr>
          <w:p>
            <w:r/>
            <w:r>
              <w:rPr>
                <w:b/>
              </w:rPr>
              <w:t>Secondary approver</w:t>
            </w:r>
          </w:p>
        </w:tc>
        <w:tc>
          <w:tcPr>
            <w:tcW w:type="dxa" w:w="1560"/>
          </w:tcPr>
          <w:p>
            <w:r/>
            <w:r>
              <w:rPr>
                <w:b/>
              </w:rPr>
              <w:t>Escalation path</w:t>
            </w:r>
          </w:p>
        </w:tc>
        <w:tc>
          <w:tcPr>
            <w:tcW w:type="dxa" w:w="1560"/>
          </w:tcPr>
          <w:p>
            <w:r/>
            <w:r>
              <w:rPr>
                <w:b/>
              </w:rPr>
              <w:t>Evidence required</w:t>
            </w:r>
          </w:p>
        </w:tc>
        <w:tc>
          <w:tcPr>
            <w:tcW w:type="dxa" w:w="1560"/>
          </w:tcPr>
          <w:p>
            <w:r/>
            <w:r>
              <w:rPr>
                <w:b/>
              </w:rPr>
              <w:t>Review cadence</w:t>
            </w:r>
          </w:p>
        </w:tc>
      </w:tr>
      <w:tr>
        <w:tc>
          <w:tcPr>
            <w:tcW w:type="dxa" w:w="1560"/>
          </w:tcPr>
          <w:p>
            <w:r>
              <w:rPr>
                <w:b/>
              </w:rPr>
              <w:t>Create a new access role</w:t>
            </w:r>
          </w:p>
        </w:tc>
        <w:tc>
          <w:tcPr>
            <w:tcW w:type="dxa" w:w="1560"/>
          </w:tcPr>
          <w:p>
            <w:r>
              <w:t>Application owner</w:t>
            </w:r>
          </w:p>
        </w:tc>
        <w:tc>
          <w:tcPr>
            <w:tcW w:type="dxa" w:w="1560"/>
          </w:tcPr>
          <w:p>
            <w:r>
              <w:t>IAM lead</w:t>
            </w:r>
          </w:p>
        </w:tc>
        <w:tc>
          <w:tcPr>
            <w:tcW w:type="dxa" w:w="1560"/>
          </w:tcPr>
          <w:p>
            <w:r>
              <w:t>IAM lead to CISO when scope crosses systems</w:t>
            </w:r>
          </w:p>
        </w:tc>
        <w:tc>
          <w:tcPr>
            <w:tcW w:type="dxa" w:w="1560"/>
          </w:tcPr>
          <w:p>
            <w:r>
              <w:t>Role definition, included and excluded entitlements, business justification</w:t>
            </w:r>
          </w:p>
        </w:tc>
        <w:tc>
          <w:tcPr>
            <w:tcW w:type="dxa" w:w="1560"/>
          </w:tcPr>
          <w:p>
            <w:r>
              <w:t>At creation, then annually</w:t>
            </w:r>
          </w:p>
        </w:tc>
      </w:tr>
      <w:tr>
        <w:tc>
          <w:tcPr>
            <w:tcW w:type="dxa" w:w="1560"/>
          </w:tcPr>
          <w:p>
            <w:r>
              <w:rPr>
                <w:b/>
              </w:rPr>
              <w:t>Approve privileged access</w:t>
            </w:r>
          </w:p>
        </w:tc>
        <w:tc>
          <w:tcPr>
            <w:tcW w:type="dxa" w:w="1560"/>
          </w:tcPr>
          <w:p>
            <w:r>
              <w:t>System owner</w:t>
            </w:r>
          </w:p>
        </w:tc>
        <w:tc>
          <w:tcPr>
            <w:tcW w:type="dxa" w:w="1560"/>
          </w:tcPr>
          <w:p>
            <w:r>
              <w:t>IAM lead</w:t>
            </w:r>
          </w:p>
        </w:tc>
        <w:tc>
          <w:tcPr>
            <w:tcW w:type="dxa" w:w="1560"/>
          </w:tcPr>
          <w:p>
            <w:r>
              <w:t>CISO for production or regulated systems</w:t>
            </w:r>
          </w:p>
        </w:tc>
        <w:tc>
          <w:tcPr>
            <w:tcW w:type="dxa" w:w="1560"/>
          </w:tcPr>
          <w:p>
            <w:r>
              <w:t>Named requester, business reason, duration, manager approval</w:t>
            </w:r>
          </w:p>
        </w:tc>
        <w:tc>
          <w:tcPr>
            <w:tcW w:type="dxa" w:w="1560"/>
          </w:tcPr>
          <w:p>
            <w:r>
              <w:t>Quarterly</w:t>
            </w:r>
          </w:p>
        </w:tc>
      </w:tr>
      <w:tr>
        <w:tc>
          <w:tcPr>
            <w:tcW w:type="dxa" w:w="1560"/>
          </w:tcPr>
          <w:p>
            <w:r>
              <w:rPr>
                <w:b/>
              </w:rPr>
              <w:t>Extend contractor access</w:t>
            </w:r>
          </w:p>
        </w:tc>
        <w:tc>
          <w:tcPr>
            <w:tcW w:type="dxa" w:w="1560"/>
          </w:tcPr>
          <w:p>
            <w:r>
              <w:t>Hiring manager</w:t>
            </w:r>
          </w:p>
        </w:tc>
        <w:tc>
          <w:tcPr>
            <w:tcW w:type="dxa" w:w="1560"/>
          </w:tcPr>
          <w:p>
            <w:r>
              <w:t>Vendor coordinator</w:t>
            </w:r>
          </w:p>
        </w:tc>
        <w:tc>
          <w:tcPr>
            <w:tcW w:type="dxa" w:w="1560"/>
          </w:tcPr>
          <w:p>
            <w:r>
              <w:t>IAM lead when access is past the contract end date</w:t>
            </w:r>
          </w:p>
        </w:tc>
        <w:tc>
          <w:tcPr>
            <w:tcW w:type="dxa" w:w="1560"/>
          </w:tcPr>
          <w:p>
            <w:r>
              <w:t>Active contract, end date, sponsor confirmation</w:t>
            </w:r>
          </w:p>
        </w:tc>
        <w:tc>
          <w:tcPr>
            <w:tcW w:type="dxa" w:w="1560"/>
          </w:tcPr>
          <w:p>
            <w:r>
              <w:t>Monthly check for expiring access</w:t>
            </w:r>
          </w:p>
        </w:tc>
      </w:tr>
      <w:tr>
        <w:tc>
          <w:tcPr>
            <w:tcW w:type="dxa" w:w="1560"/>
          </w:tcPr>
          <w:p>
            <w:r>
              <w:rPr>
                <w:b/>
              </w:rPr>
              <w:t>Retire a service account</w:t>
            </w:r>
          </w:p>
        </w:tc>
        <w:tc>
          <w:tcPr>
            <w:tcW w:type="dxa" w:w="1560"/>
          </w:tcPr>
          <w:p>
            <w:r>
              <w:t>Technical owner</w:t>
            </w:r>
          </w:p>
        </w:tc>
        <w:tc>
          <w:tcPr>
            <w:tcW w:type="dxa" w:w="1560"/>
          </w:tcPr>
          <w:p>
            <w:r>
              <w:t>IAM lead</w:t>
            </w:r>
          </w:p>
        </w:tc>
        <w:tc>
          <w:tcPr>
            <w:tcW w:type="dxa" w:w="1560"/>
          </w:tcPr>
          <w:p>
            <w:r>
              <w:t>Application owner when the account is still in use</w:t>
            </w:r>
          </w:p>
        </w:tc>
        <w:tc>
          <w:tcPr>
            <w:tcW w:type="dxa" w:w="1560"/>
          </w:tcPr>
          <w:p>
            <w:r>
              <w:t>Dependency check, last-used date, rollback plan</w:t>
            </w:r>
          </w:p>
        </w:tc>
        <w:tc>
          <w:tcPr>
            <w:tcW w:type="dxa" w:w="1560"/>
          </w:tcPr>
          <w:p>
            <w:r>
              <w:t>Semiannual sweep for unused accounts</w:t>
            </w:r>
          </w:p>
        </w:tc>
      </w:tr>
      <w:tr>
        <w:tc>
          <w:tcPr>
            <w:tcW w:type="dxa" w:w="1560"/>
          </w:tcPr>
          <w:p>
            <w:r>
              <w:rPr>
                <w:b/>
              </w:rPr>
              <w:t>Rotate a production credential</w:t>
            </w:r>
          </w:p>
        </w:tc>
        <w:tc>
          <w:tcPr>
            <w:tcW w:type="dxa" w:w="1560"/>
          </w:tcPr>
          <w:p>
            <w:r>
              <w:t>Technical owner</w:t>
            </w:r>
          </w:p>
        </w:tc>
        <w:tc>
          <w:tcPr>
            <w:tcW w:type="dxa" w:w="1560"/>
          </w:tcPr>
          <w:p>
            <w:r>
              <w:t>Secrets or platform team</w:t>
            </w:r>
          </w:p>
        </w:tc>
        <w:tc>
          <w:tcPr>
            <w:tcW w:type="dxa" w:w="1560"/>
          </w:tcPr>
          <w:p>
            <w:r>
              <w:t>Incident commander during an active incident</w:t>
            </w:r>
          </w:p>
        </w:tc>
        <w:tc>
          <w:tcPr>
            <w:tcW w:type="dxa" w:w="1560"/>
          </w:tcPr>
          <w:p>
            <w:r>
              <w:t>Rotation record, affected systems, verification of service health</w:t>
            </w:r>
          </w:p>
        </w:tc>
        <w:tc>
          <w:tcPr>
            <w:tcW w:type="dxa" w:w="1560"/>
          </w:tcPr>
          <w:p>
            <w:r>
              <w:t>On schedule by credential type, and after any suspected exposure</w:t>
            </w:r>
          </w:p>
        </w:tc>
      </w:tr>
      <w:tr>
        <w:tc>
          <w:tcPr>
            <w:tcW w:type="dxa" w:w="1560"/>
          </w:tcPr>
          <w:p>
            <w:r>
              <w:rPr>
                <w:b/>
              </w:rPr>
              <w:t>Approve AI agent onboarding</w:t>
            </w:r>
          </w:p>
        </w:tc>
        <w:tc>
          <w:tcPr>
            <w:tcW w:type="dxa" w:w="1560"/>
          </w:tcPr>
          <w:p>
            <w:r>
              <w:t>Agent sponsor</w:t>
            </w:r>
          </w:p>
        </w:tc>
        <w:tc>
          <w:tcPr>
            <w:tcW w:type="dxa" w:w="1560"/>
          </w:tcPr>
          <w:p>
            <w:r>
              <w:t>IAM lead</w:t>
            </w:r>
          </w:p>
        </w:tc>
        <w:tc>
          <w:tcPr>
            <w:tcW w:type="dxa" w:w="1560"/>
          </w:tcPr>
          <w:p>
            <w:r>
              <w:t>CISO and data owner when the agent touches regulated data</w:t>
            </w:r>
          </w:p>
        </w:tc>
        <w:tc>
          <w:tcPr>
            <w:tcW w:type="dxa" w:w="1560"/>
          </w:tcPr>
          <w:p>
            <w:r>
              <w:t>AI identity intake form, delegated boundaries, logging plan, deactivation plan</w:t>
            </w:r>
          </w:p>
        </w:tc>
        <w:tc>
          <w:tcPr>
            <w:tcW w:type="dxa" w:w="1560"/>
          </w:tcPr>
          <w:p>
            <w:r>
              <w:t>At onboarding, then quarterly</w:t>
            </w:r>
          </w:p>
        </w:tc>
      </w:tr>
      <w:tr>
        <w:tc>
          <w:tcPr>
            <w:tcW w:type="dxa" w:w="1560"/>
          </w:tcPr>
          <w:p>
            <w:r>
              <w:rPr>
                <w:b/>
              </w:rPr>
              <w:t>Review an exception</w:t>
            </w:r>
          </w:p>
        </w:tc>
        <w:tc>
          <w:tcPr>
            <w:tcW w:type="dxa" w:w="1560"/>
          </w:tcPr>
          <w:p>
            <w:r>
              <w:t>Risk owner</w:t>
            </w:r>
          </w:p>
        </w:tc>
        <w:tc>
          <w:tcPr>
            <w:tcW w:type="dxa" w:w="1560"/>
          </w:tcPr>
          <w:p>
            <w:r>
              <w:t>IAM lead</w:t>
            </w:r>
          </w:p>
        </w:tc>
        <w:tc>
          <w:tcPr>
            <w:tcW w:type="dxa" w:w="1560"/>
          </w:tcPr>
          <w:p>
            <w:r>
              <w:t>CISO at expiry when the exception is requested again</w:t>
            </w:r>
          </w:p>
        </w:tc>
        <w:tc>
          <w:tcPr>
            <w:tcW w:type="dxa" w:w="1560"/>
          </w:tcPr>
          <w:p>
            <w:r>
              <w:t>Exception record, compensating controls, closure criteria</w:t>
            </w:r>
          </w:p>
        </w:tc>
        <w:tc>
          <w:tcPr>
            <w:tcW w:type="dxa" w:w="1560"/>
          </w:tcPr>
          <w:p>
            <w:r>
              <w:t>At the end date, and quarterly while open</w:t>
            </w:r>
          </w:p>
        </w:tc>
      </w:tr>
      <w:tr>
        <w:tc>
          <w:tcPr>
            <w:tcW w:type="dxa" w:w="1560"/>
          </w:tcPr>
          <w:p>
            <w:r>
              <w:rPr>
                <w:b/>
              </w:rPr>
              <w:t>Accept risk for a compensating control</w:t>
            </w:r>
          </w:p>
        </w:tc>
        <w:tc>
          <w:tcPr>
            <w:tcW w:type="dxa" w:w="1560"/>
          </w:tcPr>
          <w:p>
            <w:r>
              <w:t>CISO or delegated risk owner</w:t>
            </w:r>
          </w:p>
        </w:tc>
        <w:tc>
          <w:tcPr>
            <w:tcW w:type="dxa" w:w="1560"/>
          </w:tcPr>
          <w:p>
            <w:r>
              <w:t>Control owner</w:t>
            </w:r>
          </w:p>
        </w:tc>
        <w:tc>
          <w:tcPr>
            <w:tcW w:type="dxa" w:w="1560"/>
          </w:tcPr>
          <w:p>
            <w:r>
              <w:t>Risk committee for high or enterprise-level risk</w:t>
            </w:r>
          </w:p>
        </w:tc>
        <w:tc>
          <w:tcPr>
            <w:tcW w:type="dxa" w:w="1560"/>
          </w:tcPr>
          <w:p>
            <w:r>
              <w:t>Risk statement, control description, residual risk, expiry</w:t>
            </w:r>
          </w:p>
        </w:tc>
        <w:tc>
          <w:tcPr>
            <w:tcW w:type="dxa" w:w="1560"/>
          </w:tcPr>
          <w:p>
            <w:r>
              <w:t>Quarterly</w:t>
            </w:r>
          </w:p>
        </w:tc>
      </w:tr>
      <w:tr>
        <w:tc>
          <w:tcPr>
            <w:tcW w:type="dxa" w:w="1560"/>
          </w:tcPr>
          <w:p>
            <w:r>
              <w:rPr>
                <w:b/>
              </w:rPr>
              <w:t>Confirm initial access for a new hire</w:t>
            </w:r>
          </w:p>
        </w:tc>
        <w:tc>
          <w:tcPr>
            <w:tcW w:type="dxa" w:w="1560"/>
          </w:tcPr>
          <w:p>
            <w:r>
              <w:t>Manager</w:t>
            </w:r>
          </w:p>
        </w:tc>
        <w:tc>
          <w:tcPr>
            <w:tcW w:type="dxa" w:w="1560"/>
          </w:tcPr>
          <w:p>
            <w:r>
              <w:t>Application owner, for role-specific access beyond baseline</w:t>
            </w:r>
          </w:p>
        </w:tc>
        <w:tc>
          <w:tcPr>
            <w:tcW w:type="dxa" w:w="1560"/>
          </w:tcPr>
          <w:p>
            <w:r>
              <w:t>HR business partner when the start date or role is unclear</w:t>
            </w:r>
          </w:p>
        </w:tc>
        <w:tc>
          <w:tcPr>
            <w:tcW w:type="dxa" w:w="1560"/>
          </w:tcPr>
          <w:p>
            <w:r>
              <w:t>HR record, start date, job code, manager of record</w:t>
            </w:r>
          </w:p>
        </w:tc>
        <w:tc>
          <w:tcPr>
            <w:tcW w:type="dxa" w:w="1560"/>
          </w:tcPr>
          <w:p>
            <w:r>
              <w:t>At hire, then at the first 90-day check</w:t>
            </w:r>
          </w:p>
        </w:tc>
      </w:tr>
      <w:tr>
        <w:tc>
          <w:tcPr>
            <w:tcW w:type="dxa" w:w="1560"/>
          </w:tcPr>
          <w:p>
            <w:r>
              <w:rPr>
                <w:b/>
              </w:rPr>
              <w:t>Confirm deprovisioning on termination</w:t>
            </w:r>
          </w:p>
        </w:tc>
        <w:tc>
          <w:tcPr>
            <w:tcW w:type="dxa" w:w="1560"/>
          </w:tcPr>
          <w:p>
            <w:r>
              <w:t>Manager</w:t>
            </w:r>
          </w:p>
        </w:tc>
        <w:tc>
          <w:tcPr>
            <w:tcW w:type="dxa" w:w="1560"/>
          </w:tcPr>
          <w:p>
            <w:r>
              <w:t>IAM operations</w:t>
            </w:r>
          </w:p>
        </w:tc>
        <w:tc>
          <w:tcPr>
            <w:tcW w:type="dxa" w:w="1560"/>
          </w:tcPr>
          <w:p>
            <w:r>
              <w:t>IAM lead when access remains active past the termination date</w:t>
            </w:r>
          </w:p>
        </w:tc>
        <w:tc>
          <w:tcPr>
            <w:tcW w:type="dxa" w:w="1560"/>
          </w:tcPr>
          <w:p>
            <w:r>
              <w:t>HR termination record, last day worked, systems with active access</w:t>
            </w:r>
          </w:p>
        </w:tc>
        <w:tc>
          <w:tcPr>
            <w:tcW w:type="dxa" w:w="1560"/>
          </w:tcPr>
          <w:p>
            <w:r>
              <w:t>On the termination date, then a five-day sweep</w:t>
            </w:r>
          </w:p>
        </w:tc>
      </w:tr>
      <w:tr>
        <w:tc>
          <w:tcPr>
            <w:tcW w:type="dxa" w:w="1560"/>
          </w:tcPr>
          <w:p>
            <w:r>
              <w:rPr>
                <w:b/>
              </w:rPr>
              <w:t>Resolve a source-of-truth conflict</w:t>
            </w:r>
          </w:p>
        </w:tc>
        <w:tc>
          <w:tcPr>
            <w:tcW w:type="dxa" w:w="1560"/>
          </w:tcPr>
          <w:p>
            <w:r>
              <w:t>Identity data governance lead</w:t>
            </w:r>
          </w:p>
        </w:tc>
        <w:tc>
          <w:tcPr>
            <w:tcW w:type="dxa" w:w="1560"/>
          </w:tcPr>
          <w:p>
            <w:r>
              <w:t>Owning system's data steward</w:t>
            </w:r>
          </w:p>
        </w:tc>
        <w:tc>
          <w:tcPr>
            <w:tcW w:type="dxa" w:w="1560"/>
          </w:tcPr>
          <w:p>
            <w:r>
              <w:t>Data governance council when the conflict has already driven an access decision</w:t>
            </w:r>
          </w:p>
        </w:tc>
        <w:tc>
          <w:tcPr>
            <w:tcW w:type="dxa" w:w="1560"/>
          </w:tcPr>
          <w:p>
            <w:r>
              <w:t>Conflicting attribute values, both source systems, business impact</w:t>
            </w:r>
          </w:p>
        </w:tc>
        <w:tc>
          <w:tcPr>
            <w:tcW w:type="dxa" w:w="1560"/>
          </w:tcPr>
          <w:p>
            <w:r>
              <w:t>At detection, then quarterly for recurring conflicts</w:t>
            </w:r>
          </w:p>
        </w:tc>
      </w:tr>
    </w:tbl>
    <w:p/>
    <w:p>
      <w:pPr>
        <w:pStyle w:val="Heading1"/>
      </w:pPr>
      <w:r>
        <w:rPr>
          <w:color w:val="1B2A55"/>
        </w:rPr>
        <w:t>The blank form</w:t>
      </w:r>
    </w:p>
    <w:p>
      <w:r>
        <w:t>*Fill in one decision per row. Add rows as you need them.*</w:t>
      </w:r>
    </w:p>
    <w:tbl>
      <w:tblPr>
        <w:tblStyle w:val="TableGrid"/>
        <w:tblW w:type="auto" w:w="0"/>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rPr>
              <w:t>Decision</w:t>
            </w:r>
          </w:p>
        </w:tc>
        <w:tc>
          <w:tcPr>
            <w:tcW w:type="dxa" w:w="1560"/>
          </w:tcPr>
          <w:p>
            <w:r/>
            <w:r>
              <w:rPr>
                <w:b/>
              </w:rPr>
              <w:t>Primary approver</w:t>
            </w:r>
          </w:p>
        </w:tc>
        <w:tc>
          <w:tcPr>
            <w:tcW w:type="dxa" w:w="1560"/>
          </w:tcPr>
          <w:p>
            <w:r/>
            <w:r>
              <w:rPr>
                <w:b/>
              </w:rPr>
              <w:t>Secondary approver</w:t>
            </w:r>
          </w:p>
        </w:tc>
        <w:tc>
          <w:tcPr>
            <w:tcW w:type="dxa" w:w="1560"/>
          </w:tcPr>
          <w:p>
            <w:r/>
            <w:r>
              <w:rPr>
                <w:b/>
              </w:rPr>
              <w:t>Escalation path</w:t>
            </w:r>
          </w:p>
        </w:tc>
        <w:tc>
          <w:tcPr>
            <w:tcW w:type="dxa" w:w="1560"/>
          </w:tcPr>
          <w:p>
            <w:r/>
            <w:r>
              <w:rPr>
                <w:b/>
              </w:rPr>
              <w:t>Evidence required</w:t>
            </w:r>
          </w:p>
        </w:tc>
        <w:tc>
          <w:tcPr>
            <w:tcW w:type="dxa" w:w="1560"/>
          </w:tcPr>
          <w:p>
            <w:r/>
            <w:r>
              <w:rPr>
                <w:b/>
              </w:rPr>
              <w:t>Review cadence</w:t>
            </w:r>
          </w:p>
        </w:tc>
      </w:tr>
    </w:tbl>
    <w:p/>
    <w:p>
      <w:pPr>
        <w:pStyle w:val="Heading1"/>
      </w:pPr>
      <w:r>
        <w:rPr>
          <w:color w:val="1B2A55"/>
        </w:rPr>
        <w:t>Field guidance</w:t>
      </w:r>
    </w:p>
    <w:p>
      <w:r>
        <w:t>*What belongs in each column,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Decision</w:t>
            </w:r>
          </w:p>
        </w:tc>
        <w:tc>
          <w:tcPr>
            <w:tcW w:type="dxa" w:w="4680"/>
          </w:tcPr>
          <w:p>
            <w:r>
              <w:t>The specific identity decision being governed. Keep each row to a single decision so the answer to who decides stays unambiguous. Name decisions in the language your organization already uses.</w:t>
            </w:r>
          </w:p>
        </w:tc>
      </w:tr>
      <w:tr>
        <w:tc>
          <w:tcPr>
            <w:tcW w:type="dxa" w:w="4680"/>
          </w:tcPr>
          <w:p>
            <w:r/>
            <w:r>
              <w:rPr>
                <w:b/>
              </w:rPr>
              <w:t>Primary approver</w:t>
            </w:r>
          </w:p>
        </w:tc>
        <w:tc>
          <w:tcPr>
            <w:tcW w:type="dxa" w:w="4680"/>
          </w:tcPr>
          <w:p>
            <w:r>
              <w:t>The role that owns the decision and is accountable for it. Name a role, not a person, so the matrix survives turnover.</w:t>
            </w:r>
          </w:p>
        </w:tc>
      </w:tr>
      <w:tr>
        <w:tc>
          <w:tcPr>
            <w:tcW w:type="dxa" w:w="4680"/>
          </w:tcPr>
          <w:p>
            <w:r/>
            <w:r>
              <w:rPr>
                <w:b/>
              </w:rPr>
              <w:t>Secondary approver</w:t>
            </w:r>
          </w:p>
        </w:tc>
        <w:tc>
          <w:tcPr>
            <w:tcW w:type="dxa" w:w="4680"/>
          </w:tcPr>
          <w:p>
            <w:r>
              <w:t>The role that approves alongside the primary, or in place of the primary when they are unavailable. This keeps decisions moving without widening who can say yes.</w:t>
            </w:r>
          </w:p>
        </w:tc>
      </w:tr>
      <w:tr>
        <w:tc>
          <w:tcPr>
            <w:tcW w:type="dxa" w:w="4680"/>
          </w:tcPr>
          <w:p>
            <w:r/>
            <w:r>
              <w:rPr>
                <w:b/>
              </w:rPr>
              <w:t>Escalation path</w:t>
            </w:r>
          </w:p>
        </w:tc>
        <w:tc>
          <w:tcPr>
            <w:tcW w:type="dxa" w:w="4680"/>
          </w:tcPr>
          <w:p>
            <w:r>
              <w:t>Where the decision goes when it is contested, higher risk, or stuck. Name the trigger, not only the destination, so people know when to escalate.</w:t>
            </w:r>
          </w:p>
        </w:tc>
      </w:tr>
      <w:tr>
        <w:tc>
          <w:tcPr>
            <w:tcW w:type="dxa" w:w="4680"/>
          </w:tcPr>
          <w:p>
            <w:r/>
            <w:r>
              <w:rPr>
                <w:b/>
              </w:rPr>
              <w:t>Evidence required</w:t>
            </w:r>
          </w:p>
        </w:tc>
        <w:tc>
          <w:tcPr>
            <w:tcW w:type="dxa" w:w="4680"/>
          </w:tcPr>
          <w:p>
            <w:r>
              <w:t>What has to exist for the decision to be made and later defended. This is what turns an approval into something an auditor or a successor can trust.</w:t>
            </w:r>
          </w:p>
        </w:tc>
      </w:tr>
      <w:tr>
        <w:tc>
          <w:tcPr>
            <w:tcW w:type="dxa" w:w="4680"/>
          </w:tcPr>
          <w:p>
            <w:r/>
            <w:r>
              <w:rPr>
                <w:b/>
              </w:rPr>
              <w:t>Review cadence</w:t>
            </w:r>
          </w:p>
        </w:tc>
        <w:tc>
          <w:tcPr>
            <w:tcW w:type="dxa" w:w="4680"/>
          </w:tcPr>
          <w:p>
            <w:r>
              <w:t>How often the decision and its standing approvals are revisited, so that a yes from last year does not become a permanent grant by default.</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