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aps/>
          <w:color w:val="4A5680"/>
          <w:sz w:val="17"/>
        </w:rPr>
        <w:t>THE MODERN IDENTITY OPERATING MODEL  ·  COMPANION WORKBOOK</w:t>
      </w:r>
    </w:p>
    <w:p>
      <w:r>
        <w:rPr>
          <w:b/>
          <w:color w:val="1B2A55"/>
          <w:sz w:val="48"/>
        </w:rPr>
        <w:t>Drift Diagnosis Guide</w:t>
      </w:r>
    </w:p>
    <w:p>
      <w:r>
        <w:rPr>
          <w:i/>
          <w:color w:val="4A5680"/>
          <w:sz w:val="17"/>
        </w:rPr>
        <w:t>Adapted from the Drift Diagnosis Guide (Case Studies chapter) of The Modern Identity Operating Model.</w:t>
      </w:r>
    </w:p>
    <w:p/>
    <w:p>
      <w:r>
        <w:rPr>
          <w:i/>
          <w:color w:val="4A5680"/>
          <w:sz w:val="24"/>
        </w:rPr>
        <w:t>Diagnose a drift situation: name the signal, locate the pillar it began in, classify the pattern, and choose the intervention.</w:t>
      </w:r>
    </w:p>
    <w:p>
      <w:r>
        <w:t>Drift usually shows up somewhere other than where it started. This guide keeps a diagnosis honest by moving through four steps in order, so the intervention lands on the cause rather than the symptom. Work one drift situation at a time.</w:t>
      </w:r>
    </w:p>
    <w:p>
      <w:pPr>
        <w:pStyle w:val="Heading1"/>
      </w:pPr>
      <w:r>
        <w:rPr>
          <w:color w:val="1B2A55"/>
        </w:rPr>
        <w:t>Step 1: Name the signal</w:t>
      </w:r>
    </w:p>
    <w:p>
      <w:r>
        <w:t>State plainly what you are seeing, and how you know. A signal is observable: an ownerless privileged group, access that outlived its purpose, a credential with no owner, an agent acting outside scope.</w:t>
      </w:r>
    </w:p>
    <w:p>
      <w:pPr>
        <w:pStyle w:val="Heading1"/>
      </w:pPr>
      <w:r>
        <w:rPr>
          <w:color w:val="1B2A55"/>
        </w:rPr>
        <w:t>Step 2: Locate the pillar it began in</w:t>
      </w:r>
    </w:p>
    <w:p>
      <w:r>
        <w:t>The symptom often appears in one pillar while the cause sits in another. Ask which pillar first stopped holding.</w:t>
      </w:r>
    </w:p>
    <w:p>
      <w:pPr>
        <w:pStyle w:val="ListBullet"/>
      </w:pPr>
      <w:r>
        <w:t>Governance: ownership or decision rights were never made explicit.</w:t>
      </w:r>
    </w:p>
    <w:p>
      <w:pPr>
        <w:pStyle w:val="ListBullet"/>
      </w:pPr>
      <w:r>
        <w:t>Lifecycle: identities do not begin, change, or end the way they should.</w:t>
      </w:r>
    </w:p>
    <w:p>
      <w:pPr>
        <w:pStyle w:val="ListBullet"/>
      </w:pPr>
      <w:r>
        <w:t>Access: entitlements mean more than intended, or were never scoped.</w:t>
      </w:r>
    </w:p>
    <w:p>
      <w:pPr>
        <w:pStyle w:val="ListBullet"/>
      </w:pPr>
      <w:r>
        <w:t>Technology: tooling compensated for confusion instead of enforcing a model.</w:t>
      </w:r>
    </w:p>
    <w:p>
      <w:pPr>
        <w:pStyle w:val="ListBullet"/>
      </w:pPr>
      <w:r>
        <w:t>People &amp; Change: owners were asked to carry decisions they were not prepared to hold.</w:t>
      </w:r>
    </w:p>
    <w:p>
      <w:pPr>
        <w:pStyle w:val="Heading1"/>
      </w:pPr>
      <w:r>
        <w:rPr>
          <w:color w:val="1B2A55"/>
        </w:rPr>
        <w:t>Step 3: Classify the pattern</w:t>
      </w:r>
    </w:p>
    <w:p>
      <w:r>
        <w:t>Name the structural pattern underneath, not just the instance. Is this an ownership gap, a lifecycle miss, access creep, a technology mismatch, a credential problem, or a privilege chain that grew unwatched? Naming the pattern is what lets you recognize it the next time.</w:t>
      </w:r>
    </w:p>
    <w:p>
      <w:pPr>
        <w:pStyle w:val="Heading1"/>
      </w:pPr>
      <w:r>
        <w:rPr>
          <w:color w:val="1B2A55"/>
        </w:rPr>
        <w:t>Step 4: Choose the intervention</w:t>
      </w:r>
    </w:p>
    <w:p>
      <w:r>
        <w:t>Pick the smallest structural fix that addresses the pattern, assign an owner, and set a review date. One fix carried to done beats several left half open.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rPr>
          <w:tblHeader w:val="true"/>
        </w:trPr>
        <w:tc>
          <w:tcPr>
            <w:tcW w:type="dxa" w:w="3120"/>
          </w:tcPr>
          <w:p>
            <w:r/>
            <w:r>
              <w:rPr>
                <w:b/>
                <w:color w:val="1B2A55"/>
                <w:sz w:val="20"/>
              </w:rPr>
              <w:t>Field</w:t>
            </w:r>
          </w:p>
        </w:tc>
        <w:tc>
          <w:tcPr>
            <w:tcW w:type="dxa" w:w="3120"/>
          </w:tcPr>
          <w:p>
            <w:r/>
            <w:r>
              <w:rPr>
                <w:b/>
                <w:color w:val="1B2A55"/>
                <w:sz w:val="20"/>
              </w:rPr>
              <w:t>What it captures</w:t>
            </w:r>
          </w:p>
        </w:tc>
        <w:tc>
          <w:tcPr>
            <w:tcW w:type="dxa" w:w="3120"/>
          </w:tcPr>
          <w:p>
            <w:r/>
            <w:r>
              <w:rPr>
                <w:b/>
                <w:color w:val="1B2A55"/>
                <w:sz w:val="20"/>
              </w:rPr>
              <w:t>Example</w:t>
            </w:r>
          </w:p>
        </w:tc>
      </w:tr>
      <w:tr>
        <w:tc>
          <w:tcPr>
            <w:tcW w:type="dxa" w:w="3120"/>
          </w:tcPr>
          <w:p>
            <w:r/>
            <w:r>
              <w:rPr>
                <w:b/>
                <w:sz w:val="20"/>
              </w:rPr>
              <w:t>Signal</w:t>
            </w:r>
          </w:p>
        </w:tc>
        <w:tc>
          <w:tcPr>
            <w:tcW w:type="dxa" w:w="3120"/>
          </w:tcPr>
          <w:p>
            <w:r/>
            <w:r>
              <w:rPr>
                <w:sz w:val="20"/>
              </w:rPr>
              <w:t>What you can observe, and how you know</w:t>
            </w:r>
          </w:p>
        </w:tc>
        <w:tc>
          <w:tcPr>
            <w:tcW w:type="dxa" w:w="3120"/>
          </w:tcPr>
          <w:p>
            <w:r/>
            <w:r>
              <w:rPr>
                <w:sz w:val="20"/>
              </w:rPr>
              <w:t>Agent deleted a record its sponsor could not</w:t>
            </w:r>
          </w:p>
        </w:tc>
      </w:tr>
      <w:tr>
        <w:tc>
          <w:tcPr>
            <w:tcW w:type="dxa" w:w="3120"/>
          </w:tcPr>
          <w:p>
            <w:r/>
            <w:r>
              <w:rPr>
                <w:b/>
                <w:sz w:val="20"/>
              </w:rPr>
              <w:t>Symptom pillar</w:t>
            </w:r>
          </w:p>
        </w:tc>
        <w:tc>
          <w:tcPr>
            <w:tcW w:type="dxa" w:w="3120"/>
          </w:tcPr>
          <w:p>
            <w:r/>
            <w:r>
              <w:rPr>
                <w:sz w:val="20"/>
              </w:rPr>
              <w:t>Where the drift became visible</w:t>
            </w:r>
          </w:p>
        </w:tc>
        <w:tc>
          <w:tcPr>
            <w:tcW w:type="dxa" w:w="3120"/>
          </w:tcPr>
          <w:p>
            <w:r/>
            <w:r>
              <w:rPr>
                <w:sz w:val="20"/>
              </w:rPr>
              <w:t>AI &amp; Nonhuman</w:t>
            </w:r>
          </w:p>
        </w:tc>
      </w:tr>
      <w:tr>
        <w:tc>
          <w:tcPr>
            <w:tcW w:type="dxa" w:w="3120"/>
          </w:tcPr>
          <w:p>
            <w:r/>
            <w:r>
              <w:rPr>
                <w:b/>
                <w:sz w:val="20"/>
              </w:rPr>
              <w:t>Origin pillar</w:t>
            </w:r>
          </w:p>
        </w:tc>
        <w:tc>
          <w:tcPr>
            <w:tcW w:type="dxa" w:w="3120"/>
          </w:tcPr>
          <w:p>
            <w:r/>
            <w:r>
              <w:rPr>
                <w:sz w:val="20"/>
              </w:rPr>
              <w:t>Where the drift actually began</w:t>
            </w:r>
          </w:p>
        </w:tc>
        <w:tc>
          <w:tcPr>
            <w:tcW w:type="dxa" w:w="3120"/>
          </w:tcPr>
          <w:p>
            <w:r/>
            <w:r>
              <w:rPr>
                <w:sz w:val="20"/>
              </w:rPr>
              <w:t>Access (boundary not enforced outside the agent)</w:t>
            </w:r>
          </w:p>
        </w:tc>
      </w:tr>
      <w:tr>
        <w:tc>
          <w:tcPr>
            <w:tcW w:type="dxa" w:w="3120"/>
          </w:tcPr>
          <w:p>
            <w:r/>
            <w:r>
              <w:rPr>
                <w:b/>
                <w:sz w:val="20"/>
              </w:rPr>
              <w:t>Pattern</w:t>
            </w:r>
          </w:p>
        </w:tc>
        <w:tc>
          <w:tcPr>
            <w:tcW w:type="dxa" w:w="3120"/>
          </w:tcPr>
          <w:p>
            <w:r/>
            <w:r>
              <w:rPr>
                <w:sz w:val="20"/>
              </w:rPr>
              <w:t>The structural pattern underneath</w:t>
            </w:r>
          </w:p>
        </w:tc>
        <w:tc>
          <w:tcPr>
            <w:tcW w:type="dxa" w:w="3120"/>
          </w:tcPr>
          <w:p>
            <w:r/>
            <w:r>
              <w:rPr>
                <w:sz w:val="20"/>
              </w:rPr>
              <w:t>Effective authority exceeded the person it acts for</w:t>
            </w:r>
          </w:p>
        </w:tc>
      </w:tr>
      <w:tr>
        <w:tc>
          <w:tcPr>
            <w:tcW w:type="dxa" w:w="3120"/>
          </w:tcPr>
          <w:p>
            <w:r/>
            <w:r>
              <w:rPr>
                <w:b/>
                <w:sz w:val="20"/>
              </w:rPr>
              <w:t>Intervention</w:t>
            </w:r>
          </w:p>
        </w:tc>
        <w:tc>
          <w:tcPr>
            <w:tcW w:type="dxa" w:w="3120"/>
          </w:tcPr>
          <w:p>
            <w:r/>
            <w:r>
              <w:rPr>
                <w:sz w:val="20"/>
              </w:rPr>
              <w:t>The smallest structural fix</w:t>
            </w:r>
          </w:p>
        </w:tc>
        <w:tc>
          <w:tcPr>
            <w:tcW w:type="dxa" w:w="3120"/>
          </w:tcPr>
          <w:p>
            <w:r/>
            <w:r>
              <w:rPr>
                <w:sz w:val="20"/>
              </w:rPr>
              <w:t>Enforce access as the person-agent overlap</w:t>
            </w:r>
          </w:p>
        </w:tc>
      </w:tr>
      <w:tr>
        <w:tc>
          <w:tcPr>
            <w:tcW w:type="dxa" w:w="3120"/>
          </w:tcPr>
          <w:p>
            <w:r/>
            <w:r>
              <w:rPr>
                <w:b/>
                <w:sz w:val="20"/>
              </w:rPr>
              <w:t>Owner / review date</w:t>
            </w:r>
          </w:p>
        </w:tc>
        <w:tc>
          <w:tcPr>
            <w:tcW w:type="dxa" w:w="3120"/>
          </w:tcPr>
          <w:p>
            <w:r/>
            <w:r>
              <w:rPr>
                <w:sz w:val="20"/>
              </w:rPr>
              <w:t>Who owns the fix and when it is checked</w:t>
            </w:r>
          </w:p>
        </w:tc>
        <w:tc>
          <w:tcPr>
            <w:tcW w:type="dxa" w:w="3120"/>
          </w:tcPr>
          <w:p>
            <w:r/>
            <w:r>
              <w:rPr>
                <w:sz w:val="20"/>
              </w:rPr>
              <w:t>IAM lead / in 30 days</w:t>
            </w:r>
          </w:p>
        </w:tc>
      </w:tr>
    </w:tbl>
    <w:p/>
    <w:p>
      <w:pPr>
        <w:pStyle w:val="Heading2"/>
      </w:pPr>
      <w:r>
        <w:rPr>
          <w:color w:val="1B2A55"/>
        </w:rPr>
        <w:t>Blank template to fill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rPr>
          <w:tblHeader w:val="true"/>
        </w:trPr>
        <w:tc>
          <w:tcPr>
            <w:tcW w:type="dxa" w:w="4680"/>
          </w:tcPr>
          <w:p>
            <w:r/>
            <w:r>
              <w:rPr>
                <w:b/>
                <w:sz w:val="20"/>
              </w:rPr>
              <w:t>Signal</w:t>
            </w:r>
          </w:p>
        </w:tc>
        <w:tc>
          <w:tcPr>
            <w:tcW w:type="dxa" w:w="4680"/>
          </w:tcPr>
          <w:p>
            <w:r/>
            <w:r>
              <w:t xml:space="preserve"> 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  <w:sz w:val="20"/>
              </w:rPr>
              <w:t>Symptom pillar</w:t>
            </w:r>
          </w:p>
        </w:tc>
        <w:tc>
          <w:tcPr>
            <w:tcW w:type="dxa" w:w="4680"/>
          </w:tcPr>
          <w:p>
            <w:r/>
            <w:r>
              <w:t xml:space="preserve"> 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  <w:sz w:val="20"/>
              </w:rPr>
              <w:t>Origin pillar</w:t>
            </w:r>
          </w:p>
        </w:tc>
        <w:tc>
          <w:tcPr>
            <w:tcW w:type="dxa" w:w="4680"/>
          </w:tcPr>
          <w:p>
            <w:r/>
            <w:r>
              <w:t xml:space="preserve"> 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  <w:sz w:val="20"/>
              </w:rPr>
              <w:t>Pattern</w:t>
            </w:r>
          </w:p>
        </w:tc>
        <w:tc>
          <w:tcPr>
            <w:tcW w:type="dxa" w:w="4680"/>
          </w:tcPr>
          <w:p>
            <w:r/>
            <w:r>
              <w:t xml:space="preserve"> 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  <w:sz w:val="20"/>
              </w:rPr>
              <w:t>Intervention</w:t>
            </w:r>
          </w:p>
        </w:tc>
        <w:tc>
          <w:tcPr>
            <w:tcW w:type="dxa" w:w="4680"/>
          </w:tcPr>
          <w:p>
            <w:r/>
            <w:r>
              <w:t xml:space="preserve"> 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  <w:sz w:val="20"/>
              </w:rPr>
              <w:t>Owner</w:t>
            </w:r>
          </w:p>
        </w:tc>
        <w:tc>
          <w:tcPr>
            <w:tcW w:type="dxa" w:w="4680"/>
          </w:tcPr>
          <w:p>
            <w:r/>
            <w:r>
              <w:t xml:space="preserve"> </w:t>
            </w:r>
          </w:p>
        </w:tc>
      </w:tr>
      <w:tr>
        <w:tc>
          <w:tcPr>
            <w:tcW w:type="dxa" w:w="4680"/>
          </w:tcPr>
          <w:p>
            <w:r/>
            <w:r>
              <w:rPr>
                <w:b/>
                <w:sz w:val="20"/>
              </w:rPr>
              <w:t>Review date</w:t>
            </w:r>
          </w:p>
        </w:tc>
        <w:tc>
          <w:tcPr>
            <w:tcW w:type="dxa" w:w="4680"/>
          </w:tcPr>
          <w:p>
            <w:r/>
            <w:r>
              <w:t xml:space="preserve"> </w:t>
            </w:r>
          </w:p>
        </w:tc>
      </w:tr>
    </w:tbl>
    <w:p/>
    <w:sectPr w:rsidR="00FC693F" w:rsidRPr="0006063C" w:rsidSect="00034616">
      <w:footerReference w:type="default" r:id="rId9"/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680"/>
        <w:sz w:val="16"/>
      </w:rPr>
      <w:t>© 2026 Becky Sandberg  ·  The Modern Identity Operating Model</w:t>
    </w:r>
    <w:r>
      <w:rPr>
        <w:color w:val="4A5680"/>
        <w:sz w:val="18"/>
      </w:rPr>
      <w:t xml:space="preserve">   ·   Page </w:t>
    </w:r>
    <w:fldSimple w:instr="PAGE">
      <w:r>
        <w:t>1</w:t>
      </w:r>
    </w:fldSimple>
  </w:p>
  <w:p>
    <w:pPr>
      <w:pStyle w:val="Footer"/>
      <w:jc w:val="center"/>
    </w:pPr>
    <w:r>
      <w:rPr>
        <w:color w:val="4A5680"/>
        <w:sz w:val="13"/>
      </w:rPr>
      <w:t xml:space="preserve">Free inside your organization; client use requires a license: beckysandberg.com/license  ·  Provided as is, without warranty. Not legal or regulatory advice.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506093" cy="506093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horizonta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06093" cy="506093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