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aps/>
          <w:color w:val="4A5680"/>
          <w:sz w:val="17"/>
        </w:rPr>
        <w:t>THE MODERN IDENTITY OPERATING MODEL  ·  COMPANION WORKBOOK</w:t>
      </w:r>
    </w:p>
    <w:p>
      <w:r>
        <w:rPr>
          <w:b/>
          <w:color w:val="1B2A55"/>
          <w:sz w:val="48"/>
        </w:rPr>
        <w:t>Nonhuman Lifecycle Template</w:t>
      </w:r>
    </w:p>
    <w:p>
      <w:r>
        <w:rPr>
          <w:i/>
          <w:color w:val="4A5680"/>
          <w:sz w:val="17"/>
        </w:rPr>
        <w:t>Adapted from "Nonhuman Lifecycle Must Be Designed, Not Assumed" (Lifecycle chapter) of The Modern Identity Operating Model.</w:t>
      </w:r>
    </w:p>
    <w:p/>
    <w:p>
      <w:r>
        <w:rPr>
          <w:i/>
          <w:color w:val="4A5680"/>
          <w:sz w:val="24"/>
        </w:rPr>
        <w:t>Define how a nonhuman identity is created, changed, reviewed, and retired.</w:t>
      </w:r>
    </w:p>
    <w:p>
      <w:r>
        <w:t>Nonhuman identities drift faster than human ones because they are created for convenience, reused under pressure, and forgotten when the work changes. A service account for a migration, a token for a script, a workload identity for a deployment, an agent onboarded for a pilot and never re-scoped. That is why nonhuman lifecycle has to be intentional. If a nonhuman identity has no owner, no purpose statement, no review point, and no retirement condition, it is already drifting.</w:t>
      </w:r>
    </w:p>
    <w:p>
      <w:pPr>
        <w:pStyle w:val="Heading1"/>
      </w:pPr>
      <w:r>
        <w:t>How to use it</w:t>
      </w:r>
    </w:p>
    <w:p>
      <w:pPr>
        <w:pStyle w:val="ListBullet"/>
      </w:pPr>
      <w:r>
        <w:rPr>
          <w:sz w:val="22"/>
        </w:rPr>
        <w:t>Define the model once for one nonhuman identity type at a time: a service account, a workload identity, a certificate-backed identity.</w:t>
      </w:r>
    </w:p>
    <w:p>
      <w:pPr>
        <w:pStyle w:val="ListBullet"/>
      </w:pPr>
      <w:r>
        <w:rPr>
          <w:sz w:val="22"/>
        </w:rPr>
        <w:t>Trace what actually happens today, not what should happen. The gap between the two is where drift lives.</w:t>
      </w:r>
    </w:p>
    <w:p>
      <w:pPr>
        <w:pStyle w:val="ListBullet"/>
      </w:pPr>
      <w:r>
        <w:rPr>
          <w:sz w:val="22"/>
        </w:rPr>
        <w:t>Pay the most attention to the retirement trigger. Nonhuman identities with no defined ending are the ones still standing years later.</w:t>
      </w:r>
    </w:p>
    <w:p>
      <w:pPr>
        <w:pStyle w:val="ListBullet"/>
      </w:pPr>
      <w:r>
        <w:rPr>
          <w:sz w:val="22"/>
        </w:rPr>
        <w:t>Revisit whenever a new nonhuman identity type is introduced into the environment.</w:t>
      </w:r>
    </w:p>
    <w:p>
      <w:pPr>
        <w:pStyle w:val="Heading1"/>
      </w:pPr>
      <w:r>
        <w:rPr>
          <w:color w:val="1B2A55"/>
        </w:rPr>
        <w:t>What a strong nonhuman lifecycle model defines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rPr>
          <w:tblHeader w:val="true"/>
        </w:trPr>
        <w:tc>
          <w:tcPr>
            <w:tcW w:type="dxa" w:w="3120"/>
          </w:tcPr>
          <w:p>
            <w:r/>
            <w:r>
              <w:rPr>
                <w:b/>
                <w:color w:val="1B2A55"/>
                <w:sz w:val="20"/>
              </w:rPr>
              <w:t>Field</w:t>
            </w:r>
          </w:p>
        </w:tc>
        <w:tc>
          <w:tcPr>
            <w:tcW w:type="dxa" w:w="3120"/>
          </w:tcPr>
          <w:p>
            <w:r/>
            <w:r>
              <w:rPr>
                <w:b/>
                <w:color w:val="1B2A55"/>
                <w:sz w:val="20"/>
              </w:rPr>
              <w:t>What it captures</w:t>
            </w:r>
          </w:p>
        </w:tc>
        <w:tc>
          <w:tcPr>
            <w:tcW w:type="dxa" w:w="3120"/>
          </w:tcPr>
          <w:p>
            <w:r/>
            <w:r>
              <w:rPr>
                <w:b/>
                <w:color w:val="1B2A55"/>
                <w:sz w:val="20"/>
              </w:rPr>
              <w:t>Example</w:t>
            </w:r>
          </w:p>
        </w:tc>
      </w:tr>
      <w:tr>
        <w:tc>
          <w:tcPr>
            <w:tcW w:type="dxa" w:w="3120"/>
          </w:tcPr>
          <w:p>
            <w:r/>
            <w:r>
              <w:rPr>
                <w:b/>
                <w:sz w:val="20"/>
              </w:rPr>
              <w:t>How the identity is requested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The intake path that brings it into existence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Ticket in the identity request queue</w:t>
            </w:r>
          </w:p>
        </w:tc>
      </w:tr>
      <w:tr>
        <w:tc>
          <w:tcPr>
            <w:tcW w:type="dxa" w:w="3120"/>
          </w:tcPr>
          <w:p>
            <w:r/>
            <w:r>
              <w:rPr>
                <w:b/>
                <w:sz w:val="20"/>
              </w:rPr>
              <w:t>Who approves it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The named approver, not a team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Platform owner</w:t>
            </w:r>
          </w:p>
        </w:tc>
      </w:tr>
      <w:tr>
        <w:tc>
          <w:tcPr>
            <w:tcW w:type="dxa" w:w="3120"/>
          </w:tcPr>
          <w:p>
            <w:r/>
            <w:r>
              <w:rPr>
                <w:b/>
                <w:sz w:val="20"/>
              </w:rPr>
              <w:t>Minimum metadata required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Owner, purpose, and end condition at a minimum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Owner, business purpose, retirement date</w:t>
            </w:r>
          </w:p>
        </w:tc>
      </w:tr>
      <w:tr>
        <w:tc>
          <w:tcPr>
            <w:tcW w:type="dxa" w:w="3120"/>
          </w:tcPr>
          <w:p>
            <w:r/>
            <w:r>
              <w:rPr>
                <w:b/>
                <w:sz w:val="20"/>
              </w:rPr>
              <w:t>Credentials it receives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What secret or certificate it is issued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Short-lived certificate from internal CA</w:t>
            </w:r>
          </w:p>
        </w:tc>
      </w:tr>
      <w:tr>
        <w:tc>
          <w:tcPr>
            <w:tcW w:type="dxa" w:w="3120"/>
          </w:tcPr>
          <w:p>
            <w:r/>
            <w:r>
              <w:rPr>
                <w:b/>
                <w:sz w:val="20"/>
              </w:rPr>
              <w:t>How privileges are scoped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The least privilege it needs, bounded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Read-only to one bucket</w:t>
            </w:r>
          </w:p>
        </w:tc>
      </w:tr>
      <w:tr>
        <w:tc>
          <w:tcPr>
            <w:tcW w:type="dxa" w:w="3120"/>
          </w:tcPr>
          <w:p>
            <w:r/>
            <w:r>
              <w:rPr>
                <w:b/>
                <w:sz w:val="20"/>
              </w:rPr>
              <w:t>What event triggers review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The signal that forces re-examination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Quarterly review or owner change</w:t>
            </w:r>
          </w:p>
        </w:tc>
      </w:tr>
      <w:tr>
        <w:tc>
          <w:tcPr>
            <w:tcW w:type="dxa" w:w="3120"/>
          </w:tcPr>
          <w:p>
            <w:r/>
            <w:r>
              <w:rPr>
                <w:b/>
                <w:sz w:val="20"/>
              </w:rPr>
              <w:t>What event triggers retirement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The condition that ends it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Migration complete</w:t>
            </w:r>
          </w:p>
        </w:tc>
      </w:tr>
      <w:tr>
        <w:tc>
          <w:tcPr>
            <w:tcW w:type="dxa" w:w="3120"/>
          </w:tcPr>
          <w:p>
            <w:r/>
            <w:r>
              <w:rPr>
                <w:b/>
                <w:sz w:val="20"/>
              </w:rPr>
              <w:t>How revocation happens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The concrete revocation step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Certificate revoked, account disabled</w:t>
            </w:r>
          </w:p>
        </w:tc>
      </w:tr>
      <w:tr>
        <w:tc>
          <w:tcPr>
            <w:tcW w:type="dxa" w:w="3120"/>
          </w:tcPr>
          <w:p>
            <w:r/>
            <w:r>
              <w:rPr>
                <w:b/>
                <w:sz w:val="20"/>
              </w:rPr>
              <w:t>Where evidence is recorded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Where the record of all of the above lives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Identity register entry</w:t>
            </w:r>
          </w:p>
        </w:tc>
      </w:tr>
    </w:tbl>
    <w:p/>
    <w:p>
      <w:pPr>
        <w:pStyle w:val="Heading2"/>
      </w:pPr>
      <w:r>
        <w:rPr>
          <w:color w:val="1B2A55"/>
        </w:rPr>
        <w:t>Blank template to fill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true"/>
        </w:trPr>
        <w:tc>
          <w:tcPr>
            <w:tcW w:type="dxa" w:w="4680"/>
          </w:tcPr>
          <w:p>
            <w:r/>
            <w:r>
              <w:rPr>
                <w:b/>
                <w:sz w:val="20"/>
              </w:rPr>
              <w:t>How the identity is requested</w:t>
            </w:r>
          </w:p>
        </w:tc>
        <w:tc>
          <w:tcPr>
            <w:tcW w:type="dxa" w:w="4680"/>
          </w:tcPr>
          <w:p>
            <w:r/>
            <w:r>
              <w:t xml:space="preserve"> 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  <w:sz w:val="20"/>
              </w:rPr>
              <w:t>Who approves it</w:t>
            </w:r>
          </w:p>
        </w:tc>
        <w:tc>
          <w:tcPr>
            <w:tcW w:type="dxa" w:w="4680"/>
          </w:tcPr>
          <w:p>
            <w:r/>
            <w:r>
              <w:t xml:space="preserve"> 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  <w:sz w:val="20"/>
              </w:rPr>
              <w:t>Minimum metadata required</w:t>
            </w:r>
          </w:p>
        </w:tc>
        <w:tc>
          <w:tcPr>
            <w:tcW w:type="dxa" w:w="4680"/>
          </w:tcPr>
          <w:p>
            <w:r/>
            <w:r>
              <w:t xml:space="preserve"> 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  <w:sz w:val="20"/>
              </w:rPr>
              <w:t>Credentials it receives</w:t>
            </w:r>
          </w:p>
        </w:tc>
        <w:tc>
          <w:tcPr>
            <w:tcW w:type="dxa" w:w="4680"/>
          </w:tcPr>
          <w:p>
            <w:r/>
            <w:r>
              <w:t xml:space="preserve"> 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  <w:sz w:val="20"/>
              </w:rPr>
              <w:t>How privileges are scoped</w:t>
            </w:r>
          </w:p>
        </w:tc>
        <w:tc>
          <w:tcPr>
            <w:tcW w:type="dxa" w:w="4680"/>
          </w:tcPr>
          <w:p>
            <w:r/>
            <w:r>
              <w:t xml:space="preserve"> 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  <w:sz w:val="20"/>
              </w:rPr>
              <w:t>Review trigger</w:t>
            </w:r>
          </w:p>
        </w:tc>
        <w:tc>
          <w:tcPr>
            <w:tcW w:type="dxa" w:w="4680"/>
          </w:tcPr>
          <w:p>
            <w:r/>
            <w:r>
              <w:t xml:space="preserve"> 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  <w:sz w:val="20"/>
              </w:rPr>
              <w:t>Retirement trigger</w:t>
            </w:r>
          </w:p>
        </w:tc>
        <w:tc>
          <w:tcPr>
            <w:tcW w:type="dxa" w:w="4680"/>
          </w:tcPr>
          <w:p>
            <w:r/>
            <w:r>
              <w:t xml:space="preserve"> 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  <w:sz w:val="20"/>
              </w:rPr>
              <w:t>How revocation happens</w:t>
            </w:r>
          </w:p>
        </w:tc>
        <w:tc>
          <w:tcPr>
            <w:tcW w:type="dxa" w:w="4680"/>
          </w:tcPr>
          <w:p>
            <w:r/>
            <w:r>
              <w:t xml:space="preserve"> 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  <w:sz w:val="20"/>
              </w:rPr>
              <w:t>Where evidence is recorded</w:t>
            </w:r>
          </w:p>
        </w:tc>
        <w:tc>
          <w:tcPr>
            <w:tcW w:type="dxa" w:w="4680"/>
          </w:tcPr>
          <w:p>
            <w:r/>
            <w:r>
              <w:t xml:space="preserve"> </w:t>
            </w:r>
          </w:p>
        </w:tc>
      </w:tr>
    </w:tbl>
    <w:p/>
    <w:sectPr w:rsidR="00FC693F" w:rsidRPr="0006063C" w:rsidSect="00034616">
      <w:footerReference w:type="default" r:id="rId9"/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680"/>
        <w:sz w:val="16"/>
      </w:rPr>
      <w:t>© 2026 Becky Sandberg  ·  The Modern Identity Operating Model</w:t>
    </w:r>
    <w:r>
      <w:rPr>
        <w:color w:val="4A5680"/>
        <w:sz w:val="18"/>
      </w:rPr>
      <w:t xml:space="preserve">   ·   Page </w:t>
    </w:r>
    <w:fldSimple w:instr="PAGE">
      <w:r>
        <w:t>1</w:t>
      </w:r>
    </w:fldSimple>
  </w:p>
  <w:p>
    <w:pPr>
      <w:pStyle w:val="Footer"/>
      <w:jc w:val="center"/>
    </w:pPr>
    <w:r>
      <w:rPr>
        <w:color w:val="4A5680"/>
        <w:sz w:val="13"/>
      </w:rPr>
      <w:t xml:space="preserve">Free inside your organization; client use requires a license: beckysandberg.com/license  ·  Provided as is, without warranty. Not legal or regulatory advice.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506093" cy="50609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6093" cy="50609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