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color w:val="1B2A55"/>
          <w:sz w:val="16"/>
          <w:szCs w:val="16"/>
        </w:rPr>
        <w:t xml:space="preserve">THE MODERN IDENTITY OPERATING MODEL  ·  COMPANION WORKBOOK</w:t>
      </w:r>
    </w:p>
    <w:p>
      <w:pPr>
        <w:spacing w:after="60"/>
      </w:pPr>
      <w:r>
        <w:rPr>
          <w:b/>
          <w:color w:val="1B2A55"/>
          <w:sz w:val="48"/>
        </w:rPr>
        <w:t xml:space="preserve">Resistance Log</w:t>
      </w:r>
    </w:p>
    <w:p>
      <w:pPr>
        <w:spacing w:after="60"/>
      </w:pPr>
      <w:r>
        <w:rPr>
          <w:rFonts w:ascii="Calibri" w:cs="Calibri" w:eastAsia="Calibri" w:hAnsi="Calibri"/>
          <w:i/>
          <w:iCs/>
          <w:color w:val="4A5680"/>
          <w:sz w:val="22"/>
          <w:szCs w:val="22"/>
        </w:rPr>
        <w:t xml:space="preserve">Treat pushback as a reading of the design, and tell healthy discomfort from real friction.</w:t>
      </w:r>
    </w:p>
    <w:p>
      <w:pPr>
        <w:spacing w:after="240"/>
      </w:pPr>
      <w:r>
        <w:rPr>
          <w:rFonts w:ascii="Calibri" w:cs="Calibri" w:eastAsia="Calibri" w:hAnsi="Calibri"/>
          <w:i/>
          <w:iCs/>
          <w:color w:val="4A5680"/>
          <w:sz w:val="18"/>
          <w:szCs w:val="18"/>
        </w:rPr>
        <w:t xml:space="preserve">Adapted from Chapter 17 of The Modern Identity Operating Model by Becky Sandberg. © 2026 Becky Sandberg.</w:t>
      </w:r>
    </w:p>
    <w:p>
      <w:pPr>
        <w:spacing w:after="100" w:before="220"/>
      </w:pPr>
      <w:r>
        <w:rPr>
          <w:rFonts w:ascii="Calibri" w:cs="Calibri" w:eastAsia="Calibri" w:hAnsi="Calibri"/>
          <w:b/>
          <w:bCs/>
          <w:color w:val="1B2A55"/>
          <w:sz w:val="26"/>
          <w:szCs w:val="26"/>
        </w:rPr>
        <w:t xml:space="preserve">What this is</w:t>
      </w:r>
    </w:p>
    <w:p>
      <w:pPr>
        <w:spacing w:after="100"/>
      </w:pPr>
      <w:r>
        <w:rPr>
          <w:rFonts w:ascii="Calibri" w:cs="Calibri" w:eastAsia="Calibri" w:hAnsi="Calibri"/>
          <w:color w:val="1B2A55"/>
          <w:sz w:val="21"/>
          <w:szCs w:val="21"/>
        </w:rPr>
        <w:t xml:space="preserve">Resistance is rarely a culture problem. It is operational, and it points to where the model has drifted out of step with how work actually happens. This log captures each instance of pushback, asks what it is made of, and turns it into either a fix to the design or a decision to hold the line.</w:t>
      </w:r>
    </w:p>
    <w:p>
      <w:pPr>
        <w:spacing w:after="100" w:before="220"/>
      </w:pPr>
      <w:r>
        <w:rPr>
          <w:rFonts w:ascii="Calibri" w:cs="Calibri" w:eastAsia="Calibri" w:hAnsi="Calibri"/>
          <w:b/>
          <w:bCs/>
          <w:color w:val="1B2A55"/>
          <w:sz w:val="26"/>
          <w:szCs w:val="26"/>
        </w:rPr>
        <w:t xml:space="preserve">When to reach for it</w:t>
      </w:r>
    </w:p>
    <w:p>
      <w:pPr>
        <w:spacing w:after="100"/>
      </w:pPr>
      <w:r>
        <w:rPr>
          <w:rFonts w:ascii="Calibri" w:cs="Calibri" w:eastAsia="Calibri" w:hAnsi="Calibri"/>
          <w:color w:val="1B2A55"/>
          <w:sz w:val="21"/>
          <w:szCs w:val="21"/>
        </w:rPr>
        <w:t xml:space="preserve">Reach for it from the first pilot onward. Use it whenever pushback is being filed as isolated complaints rather than read as signal.</w:t>
      </w:r>
    </w:p>
    <w:p>
      <w:pPr>
        <w:spacing w:after="100" w:before="220"/>
      </w:pPr>
      <w:r>
        <w:rPr>
          <w:rFonts w:ascii="Calibri" w:cs="Calibri" w:eastAsia="Calibri" w:hAnsi="Calibri"/>
          <w:b/>
          <w:bCs/>
          <w:color w:val="1B2A55"/>
          <w:sz w:val="26"/>
          <w:szCs w:val="26"/>
        </w:rPr>
        <w:t xml:space="preserve">How to use it</w:t>
      </w:r>
    </w:p>
    <w:p>
      <w:pPr>
        <w:pStyle w:val="ListParagraph"/>
        <w:numPr>
          <w:ilvl w:val="0"/>
          <w:numId w:val="2"/>
        </w:numPr>
        <w:spacing w:after="70"/>
      </w:pPr>
      <w:r>
        <w:rPr>
          <w:rFonts w:ascii="Calibri" w:cs="Calibri" w:eastAsia="Calibri" w:hAnsi="Calibri"/>
          <w:color w:val="1B2A55"/>
          <w:sz w:val="21"/>
          <w:szCs w:val="21"/>
        </w:rPr>
        <w:t xml:space="preserve">Capture each instance of resistance with who it came from and where.</w:t>
      </w:r>
    </w:p>
    <w:p>
      <w:pPr>
        <w:pStyle w:val="ListParagraph"/>
        <w:numPr>
          <w:ilvl w:val="0"/>
          <w:numId w:val="2"/>
        </w:numPr>
        <w:spacing w:after="70"/>
      </w:pPr>
      <w:r>
        <w:rPr>
          <w:rFonts w:ascii="Calibri" w:cs="Calibri" w:eastAsia="Calibri" w:hAnsi="Calibri"/>
          <w:color w:val="1B2A55"/>
          <w:sz w:val="21"/>
          <w:szCs w:val="21"/>
        </w:rPr>
        <w:t xml:space="preserve">Ask what it is made of. Is this a reaction to better accountability, or a sign the process is unusable? A governance gap, or an ownership clarity gap? A communication failure, or a support failure?</w:t>
      </w:r>
    </w:p>
    <w:p>
      <w:pPr>
        <w:pStyle w:val="ListParagraph"/>
        <w:numPr>
          <w:ilvl w:val="0"/>
          <w:numId w:val="2"/>
        </w:numPr>
        <w:spacing w:after="70"/>
      </w:pPr>
      <w:r>
        <w:rPr>
          <w:rFonts w:ascii="Calibri" w:cs="Calibri" w:eastAsia="Calibri" w:hAnsi="Calibri"/>
          <w:color w:val="1B2A55"/>
          <w:sz w:val="21"/>
          <w:szCs w:val="21"/>
        </w:rPr>
        <w:t xml:space="preserve">Decide whether it is healthy discomfort to hold or structural friction to fix. Not all resistance should be accommodated; giving in to the discomfort of leaving unsafe habits just rebuilds the problem the model was meant to fix.</w:t>
      </w:r>
    </w:p>
    <w:p>
      <w:pPr>
        <w:pStyle w:val="ListParagraph"/>
        <w:numPr>
          <w:ilvl w:val="0"/>
          <w:numId w:val="2"/>
        </w:numPr>
        <w:spacing w:after="70"/>
      </w:pPr>
      <w:r>
        <w:rPr>
          <w:rFonts w:ascii="Calibri" w:cs="Calibri" w:eastAsia="Calibri" w:hAnsi="Calibri"/>
          <w:color w:val="1B2A55"/>
          <w:sz w:val="21"/>
          <w:szCs w:val="21"/>
        </w:rPr>
        <w:t xml:space="preserve">Record the action and close the loop. Resistance should improve the conversation, not end it.</w:t>
      </w:r>
    </w:p>
    <w:p>
      <w:pPr>
        <w:spacing w:after="100" w:before="220"/>
      </w:pPr>
      <w:r>
        <w:rPr>
          <w:rFonts w:ascii="Calibri" w:cs="Calibri" w:eastAsia="Calibri" w:hAnsi="Calibri"/>
          <w:b/>
          <w:bCs/>
          <w:color w:val="1B2A55"/>
          <w:sz w:val="26"/>
          <w:szCs w:val="26"/>
        </w:rPr>
        <w:t xml:space="preserve">A worked example</w:t>
      </w:r>
    </w:p>
    <w:p>
      <w:pPr>
        <w:spacing w:after="100"/>
      </w:pPr>
      <w:r>
        <w:rPr>
          <w:rFonts w:ascii="Calibri" w:cs="Calibri" w:eastAsia="Calibri" w:hAnsi="Calibri"/>
          <w:color w:val="1B2A55"/>
          <w:sz w:val="21"/>
          <w:szCs w:val="21"/>
        </w:rPr>
        <w:t xml:space="preserve">A realistic set of entries. The point is to read each one, not to file it.</w:t>
      </w:r>
    </w:p>
    <w:tbl>
      <w:tblPr>
        <w:tblW w:type="auto" w:w="100"/>
        <w:tblBorders>
          <w:top w:val="single" w:color="D9D9E0" w:sz="4"/>
          <w:left w:val="single" w:color="D9D9E0" w:sz="4"/>
          <w:bottom w:val="single" w:color="D9D9E0" w:sz="4"/>
          <w:right w:val="single" w:color="D9D9E0" w:sz="4"/>
          <w:insideH w:val="single" w:color="D9D9E0" w:sz="4"/>
          <w:insideV w:val="single" w:color="D9D9E0" w:sz="4"/>
        </w:tblBorders>
      </w:tblPr>
      <w:tblGrid>
        <w:gridCol w:w="1300"/>
        <w:gridCol w:w="1750"/>
        <w:gridCol w:w="1750"/>
        <w:gridCol w:w="1000"/>
        <w:gridCol w:w="1710"/>
        <w:gridCol w:w="1000"/>
        <w:gridCol w:w="850"/>
      </w:tblGrid>
      <w:tr>
        <w:trPr>
          <w:tblHeader/>
        </w:trPr>
        <w:tc>
          <w:tcPr>
            <w:tcW w:type="dxa" w:w="1300"/>
            <w:tcMar>
              <w:top w:type="dxa" w:w="40"/>
              <w:left w:type="dxa" w:w="70"/>
              <w:bottom w:type="dxa" w:w="40"/>
              <w:right w:type="dxa" w:w="70"/>
            </w:tcMar>
          </w:tcPr>
          <w:p>
            <w:r>
              <w:rPr>
                <w:rFonts w:ascii="Calibri" w:cs="Calibri" w:eastAsia="Calibri" w:hAnsi="Calibri"/>
                <w:b/>
                <w:bCs/>
                <w:color w:val="1B2A55"/>
                <w:sz w:val="17"/>
                <w:szCs w:val="17"/>
              </w:rPr>
              <w:t xml:space="preserve">Source</w:t>
            </w:r>
          </w:p>
        </w:tc>
        <w:tc>
          <w:tcPr>
            <w:tcW w:type="dxa" w:w="1750"/>
            <w:tcMar>
              <w:top w:type="dxa" w:w="40"/>
              <w:left w:type="dxa" w:w="70"/>
              <w:bottom w:type="dxa" w:w="40"/>
              <w:right w:type="dxa" w:w="70"/>
            </w:tcMar>
          </w:tcPr>
          <w:p>
            <w:r>
              <w:rPr>
                <w:rFonts w:ascii="Calibri" w:cs="Calibri" w:eastAsia="Calibri" w:hAnsi="Calibri"/>
                <w:b/>
                <w:bCs/>
                <w:color w:val="1B2A55"/>
                <w:sz w:val="17"/>
                <w:szCs w:val="17"/>
              </w:rPr>
              <w:t xml:space="preserve">What they push back on</w:t>
            </w:r>
          </w:p>
        </w:tc>
        <w:tc>
          <w:tcPr>
            <w:tcW w:type="dxa" w:w="1750"/>
            <w:tcMar>
              <w:top w:type="dxa" w:w="40"/>
              <w:left w:type="dxa" w:w="70"/>
              <w:bottom w:type="dxa" w:w="40"/>
              <w:right w:type="dxa" w:w="70"/>
            </w:tcMar>
          </w:tcPr>
          <w:p>
            <w:r>
              <w:rPr>
                <w:rFonts w:ascii="Calibri" w:cs="Calibri" w:eastAsia="Calibri" w:hAnsi="Calibri"/>
                <w:b/>
                <w:bCs/>
                <w:color w:val="1B2A55"/>
                <w:sz w:val="17"/>
                <w:szCs w:val="17"/>
              </w:rPr>
              <w:t xml:space="preserve">What it is made of</w:t>
            </w:r>
          </w:p>
        </w:tc>
        <w:tc>
          <w:tcPr>
            <w:tcW w:type="dxa" w:w="1000"/>
            <w:tcMar>
              <w:top w:type="dxa" w:w="40"/>
              <w:left w:type="dxa" w:w="70"/>
              <w:bottom w:type="dxa" w:w="40"/>
              <w:right w:type="dxa" w:w="70"/>
            </w:tcMar>
          </w:tcPr>
          <w:p>
            <w:r>
              <w:rPr>
                <w:rFonts w:ascii="Calibri" w:cs="Calibri" w:eastAsia="Calibri" w:hAnsi="Calibri"/>
                <w:b/>
                <w:bCs/>
                <w:color w:val="1B2A55"/>
                <w:sz w:val="17"/>
                <w:szCs w:val="17"/>
              </w:rPr>
              <w:t xml:space="preserve">Hold or fix</w:t>
            </w:r>
          </w:p>
        </w:tc>
        <w:tc>
          <w:tcPr>
            <w:tcW w:type="dxa" w:w="1710"/>
            <w:tcMar>
              <w:top w:type="dxa" w:w="40"/>
              <w:left w:type="dxa" w:w="70"/>
              <w:bottom w:type="dxa" w:w="40"/>
              <w:right w:type="dxa" w:w="70"/>
            </w:tcMar>
          </w:tcPr>
          <w:p>
            <w:r>
              <w:rPr>
                <w:rFonts w:ascii="Calibri" w:cs="Calibri" w:eastAsia="Calibri" w:hAnsi="Calibri"/>
                <w:b/>
                <w:bCs/>
                <w:color w:val="1B2A55"/>
                <w:sz w:val="17"/>
                <w:szCs w:val="17"/>
              </w:rPr>
              <w:t xml:space="preserve">Action</w:t>
            </w:r>
          </w:p>
        </w:tc>
        <w:tc>
          <w:tcPr>
            <w:tcW w:type="dxa" w:w="1000"/>
            <w:tcMar>
              <w:top w:type="dxa" w:w="40"/>
              <w:left w:type="dxa" w:w="70"/>
              <w:bottom w:type="dxa" w:w="40"/>
              <w:right w:type="dxa" w:w="70"/>
            </w:tcMar>
          </w:tcPr>
          <w:p>
            <w:r>
              <w:rPr>
                <w:rFonts w:ascii="Calibri" w:cs="Calibri" w:eastAsia="Calibri" w:hAnsi="Calibri"/>
                <w:b/>
                <w:bCs/>
                <w:color w:val="1B2A55"/>
                <w:sz w:val="17"/>
                <w:szCs w:val="17"/>
              </w:rPr>
              <w:t xml:space="preserve">Owner</w:t>
            </w:r>
          </w:p>
        </w:tc>
        <w:tc>
          <w:tcPr>
            <w:tcW w:type="dxa" w:w="850"/>
            <w:tcMar>
              <w:top w:type="dxa" w:w="40"/>
              <w:left w:type="dxa" w:w="70"/>
              <w:bottom w:type="dxa" w:w="40"/>
              <w:right w:type="dxa" w:w="70"/>
            </w:tcMar>
          </w:tcPr>
          <w:p>
            <w:r>
              <w:rPr>
                <w:rFonts w:ascii="Calibri" w:cs="Calibri" w:eastAsia="Calibri" w:hAnsi="Calibri"/>
                <w:b/>
                <w:bCs/>
                <w:color w:val="1B2A55"/>
                <w:sz w:val="17"/>
                <w:szCs w:val="17"/>
              </w:rPr>
              <w:t xml:space="preserve">Status</w:t>
            </w:r>
          </w:p>
        </w:tc>
      </w:tr>
      <w:tr>
        <w:tc>
          <w:tcPr>
            <w:tcW w:type="dxa" w:w="1300"/>
            <w:tcMar>
              <w:top w:type="dxa" w:w="40"/>
              <w:left w:type="dxa" w:w="70"/>
              <w:bottom w:type="dxa" w:w="40"/>
              <w:right w:type="dxa" w:w="70"/>
            </w:tcMar>
          </w:tcPr>
          <w:p>
            <w:r>
              <w:rPr>
                <w:rFonts w:ascii="Calibri" w:cs="Calibri" w:eastAsia="Calibri" w:hAnsi="Calibri"/>
                <w:b w:val="false"/>
                <w:bCs w:val="false"/>
                <w:color w:val="1B2A55"/>
                <w:sz w:val="17"/>
                <w:szCs w:val="17"/>
              </w:rPr>
              <w:t xml:space="preserve">Service desk</w:t>
            </w:r>
          </w:p>
        </w:tc>
        <w:tc>
          <w:tcPr>
            <w:tcW w:type="dxa" w:w="1750"/>
            <w:tcMar>
              <w:top w:type="dxa" w:w="40"/>
              <w:left w:type="dxa" w:w="70"/>
              <w:bottom w:type="dxa" w:w="40"/>
              <w:right w:type="dxa" w:w="70"/>
            </w:tcMar>
          </w:tcPr>
          <w:p>
            <w:r>
              <w:rPr>
                <w:rFonts w:ascii="Calibri" w:cs="Calibri" w:eastAsia="Calibri" w:hAnsi="Calibri"/>
                <w:b w:val="false"/>
                <w:bCs w:val="false"/>
                <w:color w:val="1B2A55"/>
                <w:sz w:val="17"/>
                <w:szCs w:val="17"/>
              </w:rPr>
              <w:t xml:space="preserve">The new request flow is slower</w:t>
            </w:r>
          </w:p>
        </w:tc>
        <w:tc>
          <w:tcPr>
            <w:tcW w:type="dxa" w:w="1750"/>
            <w:tcMar>
              <w:top w:type="dxa" w:w="40"/>
              <w:left w:type="dxa" w:w="70"/>
              <w:bottom w:type="dxa" w:w="40"/>
              <w:right w:type="dxa" w:w="70"/>
            </w:tcMar>
          </w:tcPr>
          <w:p>
            <w:r>
              <w:rPr>
                <w:rFonts w:ascii="Calibri" w:cs="Calibri" w:eastAsia="Calibri" w:hAnsi="Calibri"/>
                <w:b w:val="false"/>
                <w:bCs w:val="false"/>
                <w:color w:val="1B2A55"/>
                <w:sz w:val="17"/>
                <w:szCs w:val="17"/>
              </w:rPr>
              <w:t xml:space="preserve">Process usability, not accountability</w:t>
            </w:r>
          </w:p>
        </w:tc>
        <w:tc>
          <w:tcPr>
            <w:tcW w:type="dxa" w:w="1000"/>
            <w:tcMar>
              <w:top w:type="dxa" w:w="40"/>
              <w:left w:type="dxa" w:w="70"/>
              <w:bottom w:type="dxa" w:w="40"/>
              <w:right w:type="dxa" w:w="70"/>
            </w:tcMar>
          </w:tcPr>
          <w:p>
            <w:r>
              <w:rPr>
                <w:rFonts w:ascii="Calibri" w:cs="Calibri" w:eastAsia="Calibri" w:hAnsi="Calibri"/>
                <w:b w:val="false"/>
                <w:bCs w:val="false"/>
                <w:color w:val="1B2A55"/>
                <w:sz w:val="17"/>
                <w:szCs w:val="17"/>
              </w:rPr>
              <w:t xml:space="preserve">Fix</w:t>
            </w:r>
          </w:p>
        </w:tc>
        <w:tc>
          <w:tcPr>
            <w:tcW w:type="dxa" w:w="1710"/>
            <w:tcMar>
              <w:top w:type="dxa" w:w="40"/>
              <w:left w:type="dxa" w:w="70"/>
              <w:bottom w:type="dxa" w:w="40"/>
              <w:right w:type="dxa" w:w="70"/>
            </w:tcMar>
          </w:tcPr>
          <w:p>
            <w:r>
              <w:rPr>
                <w:rFonts w:ascii="Calibri" w:cs="Calibri" w:eastAsia="Calibri" w:hAnsi="Calibri"/>
                <w:b w:val="false"/>
                <w:bCs w:val="false"/>
                <w:color w:val="1B2A55"/>
                <w:sz w:val="17"/>
                <w:szCs w:val="17"/>
              </w:rPr>
              <w:t xml:space="preserve">Streamline the request steps</w:t>
            </w:r>
          </w:p>
        </w:tc>
        <w:tc>
          <w:tcPr>
            <w:tcW w:type="dxa" w:w="1000"/>
            <w:tcMar>
              <w:top w:type="dxa" w:w="40"/>
              <w:left w:type="dxa" w:w="70"/>
              <w:bottom w:type="dxa" w:w="40"/>
              <w:right w:type="dxa" w:w="70"/>
            </w:tcMar>
          </w:tcPr>
          <w:p>
            <w:r>
              <w:rPr>
                <w:rFonts w:ascii="Calibri" w:cs="Calibri" w:eastAsia="Calibri" w:hAnsi="Calibri"/>
                <w:b w:val="false"/>
                <w:bCs w:val="false"/>
                <w:color w:val="1B2A55"/>
                <w:sz w:val="17"/>
                <w:szCs w:val="17"/>
              </w:rPr>
              <w:t xml:space="preserve">Change lead</w:t>
            </w:r>
          </w:p>
        </w:tc>
        <w:tc>
          <w:tcPr>
            <w:tcW w:type="dxa" w:w="850"/>
            <w:tcMar>
              <w:top w:type="dxa" w:w="40"/>
              <w:left w:type="dxa" w:w="70"/>
              <w:bottom w:type="dxa" w:w="40"/>
              <w:right w:type="dxa" w:w="70"/>
            </w:tcMar>
          </w:tcPr>
          <w:p>
            <w:r>
              <w:rPr>
                <w:rFonts w:ascii="Calibri" w:cs="Calibri" w:eastAsia="Calibri" w:hAnsi="Calibri"/>
                <w:b w:val="false"/>
                <w:bCs w:val="false"/>
                <w:color w:val="1B2A55"/>
                <w:sz w:val="17"/>
                <w:szCs w:val="17"/>
              </w:rPr>
              <w:t xml:space="preserve">Open</w:t>
            </w:r>
          </w:p>
        </w:tc>
      </w:tr>
      <w:tr>
        <w:tc>
          <w:tcPr>
            <w:tcW w:type="dxa" w:w="1300"/>
            <w:tcMar>
              <w:top w:type="dxa" w:w="40"/>
              <w:left w:type="dxa" w:w="70"/>
              <w:bottom w:type="dxa" w:w="40"/>
              <w:right w:type="dxa" w:w="70"/>
            </w:tcMar>
          </w:tcPr>
          <w:p>
            <w:r>
              <w:rPr>
                <w:rFonts w:ascii="Calibri" w:cs="Calibri" w:eastAsia="Calibri" w:hAnsi="Calibri"/>
                <w:b w:val="false"/>
                <w:bCs w:val="false"/>
                <w:color w:val="1B2A55"/>
                <w:sz w:val="17"/>
                <w:szCs w:val="17"/>
              </w:rPr>
              <w:t xml:space="preserve">A team lead</w:t>
            </w:r>
          </w:p>
        </w:tc>
        <w:tc>
          <w:tcPr>
            <w:tcW w:type="dxa" w:w="1750"/>
            <w:tcMar>
              <w:top w:type="dxa" w:w="40"/>
              <w:left w:type="dxa" w:w="70"/>
              <w:bottom w:type="dxa" w:w="40"/>
              <w:right w:type="dxa" w:w="70"/>
            </w:tcMar>
          </w:tcPr>
          <w:p>
            <w:r>
              <w:rPr>
                <w:rFonts w:ascii="Calibri" w:cs="Calibri" w:eastAsia="Calibri" w:hAnsi="Calibri"/>
                <w:b w:val="false"/>
                <w:bCs w:val="false"/>
                <w:color w:val="1B2A55"/>
                <w:sz w:val="17"/>
                <w:szCs w:val="17"/>
              </w:rPr>
              <w:t xml:space="preserve">Objects to access reviews</w:t>
            </w:r>
          </w:p>
        </w:tc>
        <w:tc>
          <w:tcPr>
            <w:tcW w:type="dxa" w:w="1750"/>
            <w:tcMar>
              <w:top w:type="dxa" w:w="40"/>
              <w:left w:type="dxa" w:w="70"/>
              <w:bottom w:type="dxa" w:w="40"/>
              <w:right w:type="dxa" w:w="70"/>
            </w:tcMar>
          </w:tcPr>
          <w:p>
            <w:r>
              <w:rPr>
                <w:rFonts w:ascii="Calibri" w:cs="Calibri" w:eastAsia="Calibri" w:hAnsi="Calibri"/>
                <w:b w:val="false"/>
                <w:bCs w:val="false"/>
                <w:color w:val="1B2A55"/>
                <w:sz w:val="17"/>
                <w:szCs w:val="17"/>
              </w:rPr>
              <w:t xml:space="preserve">The discomfort of accountability</w:t>
            </w:r>
          </w:p>
        </w:tc>
        <w:tc>
          <w:tcPr>
            <w:tcW w:type="dxa" w:w="1000"/>
            <w:tcMar>
              <w:top w:type="dxa" w:w="40"/>
              <w:left w:type="dxa" w:w="70"/>
              <w:bottom w:type="dxa" w:w="40"/>
              <w:right w:type="dxa" w:w="70"/>
            </w:tcMar>
          </w:tcPr>
          <w:p>
            <w:r>
              <w:rPr>
                <w:rFonts w:ascii="Calibri" w:cs="Calibri" w:eastAsia="Calibri" w:hAnsi="Calibri"/>
                <w:b w:val="false"/>
                <w:bCs w:val="false"/>
                <w:color w:val="1B2A55"/>
                <w:sz w:val="17"/>
                <w:szCs w:val="17"/>
              </w:rPr>
              <w:t xml:space="preserve">Hold</w:t>
            </w:r>
          </w:p>
        </w:tc>
        <w:tc>
          <w:tcPr>
            <w:tcW w:type="dxa" w:w="1710"/>
            <w:tcMar>
              <w:top w:type="dxa" w:w="40"/>
              <w:left w:type="dxa" w:w="70"/>
              <w:bottom w:type="dxa" w:w="40"/>
              <w:right w:type="dxa" w:w="70"/>
            </w:tcMar>
          </w:tcPr>
          <w:p>
            <w:r>
              <w:rPr>
                <w:rFonts w:ascii="Calibri" w:cs="Calibri" w:eastAsia="Calibri" w:hAnsi="Calibri"/>
                <w:b w:val="false"/>
                <w:bCs w:val="false"/>
                <w:color w:val="1B2A55"/>
                <w:sz w:val="17"/>
                <w:szCs w:val="17"/>
              </w:rPr>
              <w:t xml:space="preserve">Explain why, keep the review</w:t>
            </w:r>
          </w:p>
        </w:tc>
        <w:tc>
          <w:tcPr>
            <w:tcW w:type="dxa" w:w="1000"/>
            <w:tcMar>
              <w:top w:type="dxa" w:w="40"/>
              <w:left w:type="dxa" w:w="70"/>
              <w:bottom w:type="dxa" w:w="40"/>
              <w:right w:type="dxa" w:w="70"/>
            </w:tcMar>
          </w:tcPr>
          <w:p>
            <w:r>
              <w:rPr>
                <w:rFonts w:ascii="Calibri" w:cs="Calibri" w:eastAsia="Calibri" w:hAnsi="Calibri"/>
                <w:b w:val="false"/>
                <w:bCs w:val="false"/>
                <w:color w:val="1B2A55"/>
                <w:sz w:val="17"/>
                <w:szCs w:val="17"/>
              </w:rPr>
              <w:t xml:space="preserve">Governance analyst</w:t>
            </w:r>
          </w:p>
        </w:tc>
        <w:tc>
          <w:tcPr>
            <w:tcW w:type="dxa" w:w="850"/>
            <w:tcMar>
              <w:top w:type="dxa" w:w="40"/>
              <w:left w:type="dxa" w:w="70"/>
              <w:bottom w:type="dxa" w:w="40"/>
              <w:right w:type="dxa" w:w="70"/>
            </w:tcMar>
          </w:tcPr>
          <w:p>
            <w:r>
              <w:rPr>
                <w:rFonts w:ascii="Calibri" w:cs="Calibri" w:eastAsia="Calibri" w:hAnsi="Calibri"/>
                <w:b w:val="false"/>
                <w:bCs w:val="false"/>
                <w:color w:val="1B2A55"/>
                <w:sz w:val="17"/>
                <w:szCs w:val="17"/>
              </w:rPr>
              <w:t xml:space="preserve">Closed</w:t>
            </w:r>
          </w:p>
        </w:tc>
      </w:tr>
      <w:tr>
        <w:tc>
          <w:tcPr>
            <w:tcW w:type="dxa" w:w="1300"/>
            <w:tcMar>
              <w:top w:type="dxa" w:w="40"/>
              <w:left w:type="dxa" w:w="70"/>
              <w:bottom w:type="dxa" w:w="40"/>
              <w:right w:type="dxa" w:w="70"/>
            </w:tcMar>
          </w:tcPr>
          <w:p>
            <w:r>
              <w:rPr>
                <w:rFonts w:ascii="Calibri" w:cs="Calibri" w:eastAsia="Calibri" w:hAnsi="Calibri"/>
                <w:b w:val="false"/>
                <w:bCs w:val="false"/>
                <w:color w:val="1B2A55"/>
                <w:sz w:val="17"/>
                <w:szCs w:val="17"/>
              </w:rPr>
              <w:t xml:space="preserve">Application owner</w:t>
            </w:r>
          </w:p>
        </w:tc>
        <w:tc>
          <w:tcPr>
            <w:tcW w:type="dxa" w:w="1750"/>
            <w:tcMar>
              <w:top w:type="dxa" w:w="40"/>
              <w:left w:type="dxa" w:w="70"/>
              <w:bottom w:type="dxa" w:w="40"/>
              <w:right w:type="dxa" w:w="70"/>
            </w:tcMar>
          </w:tcPr>
          <w:p>
            <w:r>
              <w:rPr>
                <w:rFonts w:ascii="Calibri" w:cs="Calibri" w:eastAsia="Calibri" w:hAnsi="Calibri"/>
                <w:b w:val="false"/>
                <w:bCs w:val="false"/>
                <w:color w:val="1B2A55"/>
                <w:sz w:val="17"/>
                <w:szCs w:val="17"/>
              </w:rPr>
              <w:t xml:space="preserve">Cannot tell what they own</w:t>
            </w:r>
          </w:p>
        </w:tc>
        <w:tc>
          <w:tcPr>
            <w:tcW w:type="dxa" w:w="1750"/>
            <w:tcMar>
              <w:top w:type="dxa" w:w="40"/>
              <w:left w:type="dxa" w:w="70"/>
              <w:bottom w:type="dxa" w:w="40"/>
              <w:right w:type="dxa" w:w="70"/>
            </w:tcMar>
          </w:tcPr>
          <w:p>
            <w:r>
              <w:rPr>
                <w:rFonts w:ascii="Calibri" w:cs="Calibri" w:eastAsia="Calibri" w:hAnsi="Calibri"/>
                <w:b w:val="false"/>
                <w:bCs w:val="false"/>
                <w:color w:val="1B2A55"/>
                <w:sz w:val="17"/>
                <w:szCs w:val="17"/>
              </w:rPr>
              <w:t xml:space="preserve">Ownership clarity gap</w:t>
            </w:r>
          </w:p>
        </w:tc>
        <w:tc>
          <w:tcPr>
            <w:tcW w:type="dxa" w:w="1000"/>
            <w:tcMar>
              <w:top w:type="dxa" w:w="40"/>
              <w:left w:type="dxa" w:w="70"/>
              <w:bottom w:type="dxa" w:w="40"/>
              <w:right w:type="dxa" w:w="70"/>
            </w:tcMar>
          </w:tcPr>
          <w:p>
            <w:r>
              <w:rPr>
                <w:rFonts w:ascii="Calibri" w:cs="Calibri" w:eastAsia="Calibri" w:hAnsi="Calibri"/>
                <w:b w:val="false"/>
                <w:bCs w:val="false"/>
                <w:color w:val="1B2A55"/>
                <w:sz w:val="17"/>
                <w:szCs w:val="17"/>
              </w:rPr>
              <w:t xml:space="preserve">Fix</w:t>
            </w:r>
          </w:p>
        </w:tc>
        <w:tc>
          <w:tcPr>
            <w:tcW w:type="dxa" w:w="1710"/>
            <w:tcMar>
              <w:top w:type="dxa" w:w="40"/>
              <w:left w:type="dxa" w:w="70"/>
              <w:bottom w:type="dxa" w:w="40"/>
              <w:right w:type="dxa" w:w="70"/>
            </w:tcMar>
          </w:tcPr>
          <w:p>
            <w:r>
              <w:rPr>
                <w:rFonts w:ascii="Calibri" w:cs="Calibri" w:eastAsia="Calibri" w:hAnsi="Calibri"/>
                <w:b w:val="false"/>
                <w:bCs w:val="false"/>
                <w:color w:val="1B2A55"/>
                <w:sz w:val="17"/>
                <w:szCs w:val="17"/>
              </w:rPr>
              <w:t xml:space="preserve">Clarify the ownership record</w:t>
            </w:r>
          </w:p>
        </w:tc>
        <w:tc>
          <w:tcPr>
            <w:tcW w:type="dxa" w:w="1000"/>
            <w:tcMar>
              <w:top w:type="dxa" w:w="40"/>
              <w:left w:type="dxa" w:w="70"/>
              <w:bottom w:type="dxa" w:w="40"/>
              <w:right w:type="dxa" w:w="70"/>
            </w:tcMar>
          </w:tcPr>
          <w:p>
            <w:r>
              <w:rPr>
                <w:rFonts w:ascii="Calibri" w:cs="Calibri" w:eastAsia="Calibri" w:hAnsi="Calibri"/>
                <w:b w:val="false"/>
                <w:bCs w:val="false"/>
                <w:color w:val="1B2A55"/>
                <w:sz w:val="17"/>
                <w:szCs w:val="17"/>
              </w:rPr>
              <w:t xml:space="preserve">Identity lead</w:t>
            </w:r>
          </w:p>
        </w:tc>
        <w:tc>
          <w:tcPr>
            <w:tcW w:type="dxa" w:w="850"/>
            <w:tcMar>
              <w:top w:type="dxa" w:w="40"/>
              <w:left w:type="dxa" w:w="70"/>
              <w:bottom w:type="dxa" w:w="40"/>
              <w:right w:type="dxa" w:w="70"/>
            </w:tcMar>
          </w:tcPr>
          <w:p>
            <w:r>
              <w:rPr>
                <w:rFonts w:ascii="Calibri" w:cs="Calibri" w:eastAsia="Calibri" w:hAnsi="Calibri"/>
                <w:b w:val="false"/>
                <w:bCs w:val="false"/>
                <w:color w:val="1B2A55"/>
                <w:sz w:val="17"/>
                <w:szCs w:val="17"/>
              </w:rPr>
              <w:t xml:space="preserve">Open</w:t>
            </w:r>
          </w:p>
        </w:tc>
      </w:tr>
      <w:tr>
        <w:tc>
          <w:tcPr>
            <w:tcW w:type="dxa" w:w="1300"/>
            <w:tcMar>
              <w:top w:type="dxa" w:w="40"/>
              <w:left w:type="dxa" w:w="70"/>
              <w:bottom w:type="dxa" w:w="40"/>
              <w:right w:type="dxa" w:w="70"/>
            </w:tcMar>
          </w:tcPr>
          <w:p>
            <w:r>
              <w:rPr>
                <w:rFonts w:ascii="Calibri" w:cs="Calibri" w:eastAsia="Calibri" w:hAnsi="Calibri"/>
                <w:b w:val="false"/>
                <w:bCs w:val="false"/>
                <w:color w:val="1B2A55"/>
                <w:sz w:val="17"/>
                <w:szCs w:val="17"/>
              </w:rPr>
              <w:t xml:space="preserve">Managers</w:t>
            </w:r>
          </w:p>
        </w:tc>
        <w:tc>
          <w:tcPr>
            <w:tcW w:type="dxa" w:w="1750"/>
            <w:tcMar>
              <w:top w:type="dxa" w:w="40"/>
              <w:left w:type="dxa" w:w="70"/>
              <w:bottom w:type="dxa" w:w="40"/>
              <w:right w:type="dxa" w:w="70"/>
            </w:tcMar>
          </w:tcPr>
          <w:p>
            <w:r>
              <w:rPr>
                <w:rFonts w:ascii="Calibri" w:cs="Calibri" w:eastAsia="Calibri" w:hAnsi="Calibri"/>
                <w:b w:val="false"/>
                <w:bCs w:val="false"/>
                <w:color w:val="1B2A55"/>
                <w:sz w:val="17"/>
                <w:szCs w:val="17"/>
              </w:rPr>
              <w:t xml:space="preserve">Approvals are confusing</w:t>
            </w:r>
          </w:p>
        </w:tc>
        <w:tc>
          <w:tcPr>
            <w:tcW w:type="dxa" w:w="1750"/>
            <w:tcMar>
              <w:top w:type="dxa" w:w="40"/>
              <w:left w:type="dxa" w:w="70"/>
              <w:bottom w:type="dxa" w:w="40"/>
              <w:right w:type="dxa" w:w="70"/>
            </w:tcMar>
          </w:tcPr>
          <w:p>
            <w:r>
              <w:rPr>
                <w:rFonts w:ascii="Calibri" w:cs="Calibri" w:eastAsia="Calibri" w:hAnsi="Calibri"/>
                <w:b w:val="false"/>
                <w:bCs w:val="false"/>
                <w:color w:val="1B2A55"/>
                <w:sz w:val="17"/>
                <w:szCs w:val="17"/>
              </w:rPr>
              <w:t xml:space="preserve">Communication or support failure</w:t>
            </w:r>
          </w:p>
        </w:tc>
        <w:tc>
          <w:tcPr>
            <w:tcW w:type="dxa" w:w="1000"/>
            <w:tcMar>
              <w:top w:type="dxa" w:w="40"/>
              <w:left w:type="dxa" w:w="70"/>
              <w:bottom w:type="dxa" w:w="40"/>
              <w:right w:type="dxa" w:w="70"/>
            </w:tcMar>
          </w:tcPr>
          <w:p>
            <w:r>
              <w:rPr>
                <w:rFonts w:ascii="Calibri" w:cs="Calibri" w:eastAsia="Calibri" w:hAnsi="Calibri"/>
                <w:b w:val="false"/>
                <w:bCs w:val="false"/>
                <w:color w:val="1B2A55"/>
                <w:sz w:val="17"/>
                <w:szCs w:val="17"/>
              </w:rPr>
              <w:t xml:space="preserve">Fix</w:t>
            </w:r>
          </w:p>
        </w:tc>
        <w:tc>
          <w:tcPr>
            <w:tcW w:type="dxa" w:w="1710"/>
            <w:tcMar>
              <w:top w:type="dxa" w:w="40"/>
              <w:left w:type="dxa" w:w="70"/>
              <w:bottom w:type="dxa" w:w="40"/>
              <w:right w:type="dxa" w:w="70"/>
            </w:tcMar>
          </w:tcPr>
          <w:p>
            <w:r>
              <w:rPr>
                <w:rFonts w:ascii="Calibri" w:cs="Calibri" w:eastAsia="Calibri" w:hAnsi="Calibri"/>
                <w:b w:val="false"/>
                <w:bCs w:val="false"/>
                <w:color w:val="1B2A55"/>
                <w:sz w:val="17"/>
                <w:szCs w:val="17"/>
              </w:rPr>
              <w:t xml:space="preserve">Add the approval quick guide</w:t>
            </w:r>
          </w:p>
        </w:tc>
        <w:tc>
          <w:tcPr>
            <w:tcW w:type="dxa" w:w="1000"/>
            <w:tcMar>
              <w:top w:type="dxa" w:w="40"/>
              <w:left w:type="dxa" w:w="70"/>
              <w:bottom w:type="dxa" w:w="40"/>
              <w:right w:type="dxa" w:w="70"/>
            </w:tcMar>
          </w:tcPr>
          <w:p>
            <w:r>
              <w:rPr>
                <w:rFonts w:ascii="Calibri" w:cs="Calibri" w:eastAsia="Calibri" w:hAnsi="Calibri"/>
                <w:b w:val="false"/>
                <w:bCs w:val="false"/>
                <w:color w:val="1B2A55"/>
                <w:sz w:val="17"/>
                <w:szCs w:val="17"/>
              </w:rPr>
              <w:t xml:space="preserve">Change lead</w:t>
            </w:r>
          </w:p>
        </w:tc>
        <w:tc>
          <w:tcPr>
            <w:tcW w:type="dxa" w:w="850"/>
            <w:tcMar>
              <w:top w:type="dxa" w:w="40"/>
              <w:left w:type="dxa" w:w="70"/>
              <w:bottom w:type="dxa" w:w="40"/>
              <w:right w:type="dxa" w:w="70"/>
            </w:tcMar>
          </w:tcPr>
          <w:p>
            <w:r>
              <w:rPr>
                <w:rFonts w:ascii="Calibri" w:cs="Calibri" w:eastAsia="Calibri" w:hAnsi="Calibri"/>
                <w:b w:val="false"/>
                <w:bCs w:val="false"/>
                <w:color w:val="1B2A55"/>
                <w:sz w:val="17"/>
                <w:szCs w:val="17"/>
              </w:rPr>
              <w:t xml:space="preserve">Open</w:t>
            </w:r>
          </w:p>
        </w:tc>
      </w:tr>
    </w:tbl>
    <w:sectPr>
      <w:footerReference w:type="default" r:id="rId7"/>
      <w:headerReference w:type="default" r:id="rId9"/>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4A5680"/>
        <w:sz w:val="16"/>
        <w:szCs w:val="16"/>
      </w:rPr>
      <w:t xml:space="preserve">© 2026 Becky Sandberg  ·  The Modern Identity Operating Model</w:t>
    </w:r>
    <w:r>
      <w:rPr>
        <w:color w:val="4A5680"/>
        <w:sz w:val="18"/>
      </w:rPr>
      <w:t xml:space="preserve">   ·   Page </w:t>
    </w:r>
    <w:fldSimple w:instr="PAGE">
      <w:r>
        <w:t>1</w:t>
      </w:r>
    </w:fldSimple>
  </w:p>
  <w:p>
    <w:pPr>
      <w:pStyle w:val="Footer"/>
      <w:jc w:val="center"/>
    </w:pPr>
    <w:r>
      <w:rPr>
        <w:color w:val="4A5680"/>
        <w:sz w:val="13"/>
      </w:rPr>
      <w:t xml:space="preserve">Free inside your organization; client use requires a license: beckysandberg.com/license  ·  Provided as is, without warranty. Not legal or regulatory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506093" cy="506093"/>
          <wp:docPr id="1" name="Picture 1"/>
          <wp:cNvGraphicFramePr>
            <a:graphicFrameLocks noChangeAspect="1"/>
          </wp:cNvGraphicFramePr>
          <a:graphic>
            <a:graphicData uri="http://schemas.openxmlformats.org/drawingml/2006/picture">
              <pic:pic>
                <pic:nvPicPr>
                  <pic:cNvPr id="0" name="horizontal.png"/>
                  <pic:cNvPicPr/>
                </pic:nvPicPr>
                <pic:blipFill>
                  <a:blip r:embed="rId1"/>
                  <a:stretch>
                    <a:fillRect/>
                  </a:stretch>
                </pic:blipFill>
                <pic:spPr>
                  <a:xfrm>
                    <a:off x="0" y="0"/>
                    <a:ext cx="506093" cy="506093"/>
                  </a:xfrm>
                  <a:prstGeom prst="rec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B2A55"/>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2026-07-09T20:18:41.577Z</dcterms:created>
  <dcterms:modified xsi:type="dcterms:W3CDTF">2026-07-09T20:18:41.577Z</dcterms:modified>
</cp:coreProperties>
</file>

<file path=docProps/custom.xml><?xml version="1.0" encoding="utf-8"?>
<Properties xmlns="http://schemas.openxmlformats.org/officeDocument/2006/custom-properties" xmlns:vt="http://schemas.openxmlformats.org/officeDocument/2006/docPropsVTypes"/>
</file>