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1B2A55"/>
          <w:sz w:val="18"/>
          <w:szCs w:val="18"/>
        </w:rPr>
        <w:t xml:space="preserve">THE MODERN IDENTITY OPERATING MODEL</w:t>
      </w:r>
      <w:r>
        <w:rPr>
          <w:rFonts w:ascii="Georgia" w:cs="Georgia" w:eastAsia="Georgia" w:hAnsi="Georgia"/>
          <w:b/>
          <w:bCs/>
          <w:color w:val="4A5680"/>
          <w:sz w:val="18"/>
          <w:szCs w:val="18"/>
        </w:rPr>
        <w:t xml:space="preserve">    COMPANION WORKBOOK</w:t>
      </w:r>
    </w:p>
    <w:p>
      <w:pPr>
        <w:spacing w:after="80" w:before="120"/>
      </w:pPr>
      <w:r>
        <w:rPr>
          <w:rFonts w:ascii="Georgia" w:cs="Georgia" w:eastAsia="Georgia" w:hAnsi="Georgia"/>
          <w:b/>
          <w:bCs/>
          <w:color w:val="1B2A55"/>
          <w:sz w:val="48"/>
          <w:szCs w:val="48"/>
        </w:rPr>
        <w:t xml:space="preserve">Stakeholder and Sponsor Map</w:t>
      </w:r>
    </w:p>
    <w:p>
      <w:pPr>
        <w:spacing w:after="160"/>
      </w:pPr>
      <w:r>
        <w:rPr>
          <w:rFonts w:ascii="Calibri" w:cs="Calibri" w:eastAsia="Calibri" w:hAnsi="Calibri"/>
          <w:i/>
          <w:iCs/>
          <w:color w:val="4A5680"/>
          <w:sz w:val="24"/>
          <w:szCs w:val="24"/>
        </w:rPr>
        <w:t xml:space="preserve">Identify who shapes identity truth, who carries the change, and who sponsors it.</w:t>
      </w:r>
    </w:p>
    <w:p>
      <w:pPr>
        <w:pBdr>
          <w:bottom w:val="single" w:color="163F7D" w:sz="6" w:space="6"/>
        </w:pBdr>
        <w:spacing w:after="240"/>
      </w:pPr>
      <w:r>
        <w:rPr>
          <w:rFonts w:ascii="Calibri" w:cs="Calibri" w:eastAsia="Calibri" w:hAnsi="Calibri"/>
          <w:color w:val="4A5680"/>
          <w:sz w:val="18"/>
          <w:szCs w:val="18"/>
        </w:rPr>
        <w:t xml:space="preserve">Adapted from Chapter 17 of The Modern Identity Operating Model by Becky Sandberg. © 2026 Becky Sandberg.</w:t>
      </w:r>
    </w:p>
    <w:p>
      <w:pPr>
        <w:pStyle w:val="Heading1"/>
        <w:spacing w:after="120" w:before="320"/>
      </w:pPr>
      <w:r>
        <w:rPr>
          <w:rFonts w:ascii="Georgia" w:cs="Georgia" w:eastAsia="Georgia" w:hAnsi="Georgia"/>
          <w:b/>
          <w:bCs/>
          <w:color w:val="1B2A55"/>
          <w:sz w:val="28"/>
          <w:szCs w:val="28"/>
        </w:rPr>
        <w:t xml:space="preserve">What this is</w:t>
      </w:r>
    </w:p>
    <w:p>
      <w:pPr>
        <w:spacing w:after="160" w:line="276"/>
      </w:pPr>
      <w:r>
        <w:rPr>
          <w:rFonts w:ascii="Calibri" w:cs="Calibri" w:eastAsia="Calibri" w:hAnsi="Calibri"/>
          <w:sz w:val="22"/>
          <w:szCs w:val="22"/>
        </w:rPr>
        <w:t xml:space="preserve">Identity implementation often fails because stakeholders are informed too late, or only when approval is needed. The stakeholder map starts engagement earlier. It records who shapes identity truth, who depends on identity outcomes, who owns key systems, who approves access, who will feel the burden of change first, who has enough influence to help or block adoption, and who needs to become an ally.</w:t>
      </w:r>
    </w:p>
    <w:p>
      <w:pPr>
        <w:spacing w:after="160" w:line="276"/>
      </w:pPr>
      <w:r>
        <w:rPr>
          <w:rFonts w:ascii="Calibri" w:cs="Calibri" w:eastAsia="Calibri" w:hAnsi="Calibri"/>
          <w:sz w:val="22"/>
          <w:szCs w:val="22"/>
        </w:rPr>
        <w:t xml:space="preserve">One stakeholder matters more than the rest. Change that sticks almost always has an active sponsor behind it: a leader who is visibly backing the work, repeating why it matters, and reinforcing it when the inconvenient moments come. The map makes the sponsor explicit, because a sponsor who only receives status updates is not sponsoring.</w:t>
      </w:r>
    </w:p>
    <w:p>
      <w:pPr>
        <w:pStyle w:val="Heading1"/>
        <w:spacing w:after="120" w:before="320"/>
      </w:pPr>
      <w:r>
        <w:rPr>
          <w:rFonts w:ascii="Georgia" w:cs="Georgia" w:eastAsia="Georgia" w:hAnsi="Georgia"/>
          <w:b/>
          <w:bCs/>
          <w:color w:val="1B2A55"/>
          <w:sz w:val="28"/>
          <w:szCs w:val="28"/>
        </w:rPr>
        <w:t xml:space="preserve">When to reach for it</w:t>
      </w:r>
    </w:p>
    <w:p>
      <w:pPr>
        <w:spacing w:after="160" w:line="276"/>
      </w:pPr>
      <w:r>
        <w:rPr>
          <w:rFonts w:ascii="Calibri" w:cs="Calibri" w:eastAsia="Calibri" w:hAnsi="Calibri"/>
          <w:sz w:val="22"/>
          <w:szCs w:val="22"/>
        </w:rPr>
        <w:t xml:space="preserve">Use it at the start of any identity change large enough to meet resistance: a new operating model, an access model rollout, a lifecycle change, or bringing AI agents under governance.</w:t>
      </w:r>
    </w:p>
    <w:p>
      <w:pPr>
        <w:spacing w:after="160" w:line="276"/>
      </w:pPr>
      <w:r>
        <w:rPr>
          <w:rFonts w:ascii="Calibri" w:cs="Calibri" w:eastAsia="Calibri" w:hAnsi="Calibri"/>
          <w:sz w:val="22"/>
          <w:szCs w:val="22"/>
        </w:rPr>
        <w:t xml:space="preserve">Reach for it again when a change is stalling. A stalled change often traces back to someone who should have been engaged early and was informed at the end instead.</w:t>
      </w:r>
    </w:p>
    <w:p>
      <w:pPr>
        <w:pStyle w:val="Heading1"/>
        <w:spacing w:after="120" w:before="320"/>
      </w:pPr>
      <w:r>
        <w:rPr>
          <w:rFonts w:ascii="Georgia" w:cs="Georgia" w:eastAsia="Georgia" w:hAnsi="Georgia"/>
          <w:b/>
          <w:bCs/>
          <w:color w:val="1B2A55"/>
          <w:sz w:val="28"/>
          <w:szCs w:val="28"/>
        </w:rPr>
        <w:t xml:space="preserve">How to use it</w:t>
      </w:r>
    </w:p>
    <w:p>
      <w:pPr>
        <w:pStyle w:val="ListParagraph"/>
        <w:numPr>
          <w:ilvl w:val="0"/>
          <w:numId w:val="2"/>
        </w:numPr>
        <w:spacing w:after="120" w:line="276"/>
      </w:pPr>
      <w:r>
        <w:rPr>
          <w:rFonts w:ascii="Calibri" w:cs="Calibri" w:eastAsia="Calibri" w:hAnsi="Calibri"/>
          <w:sz w:val="22"/>
          <w:szCs w:val="22"/>
        </w:rPr>
        <w:t xml:space="preserve">Sweep the seven lenses in the field guidance and name a stakeholder for each. The same person can appear under more than one lens.</w:t>
      </w:r>
    </w:p>
    <w:p>
      <w:pPr>
        <w:pStyle w:val="ListParagraph"/>
        <w:numPr>
          <w:ilvl w:val="0"/>
          <w:numId w:val="2"/>
        </w:numPr>
        <w:spacing w:after="120" w:line="276"/>
      </w:pPr>
      <w:r>
        <w:rPr>
          <w:rFonts w:ascii="Calibri" w:cs="Calibri" w:eastAsia="Calibri" w:hAnsi="Calibri"/>
          <w:sz w:val="22"/>
          <w:szCs w:val="22"/>
        </w:rPr>
        <w:t xml:space="preserve">Record what the change asks of each stakeholder, and decide how they will be engaged: inside the project, consulted early, or informed. Some stakeholders must be inside the project, because they carry the change to their own teams, and the way they understand it shapes how everyone downstream understands it.</w:t>
      </w:r>
    </w:p>
    <w:p>
      <w:pPr>
        <w:pStyle w:val="ListParagraph"/>
        <w:numPr>
          <w:ilvl w:val="0"/>
          <w:numId w:val="2"/>
        </w:numPr>
        <w:spacing w:after="120" w:line="276"/>
      </w:pPr>
      <w:r>
        <w:rPr>
          <w:rFonts w:ascii="Calibri" w:cs="Calibri" w:eastAsia="Calibri" w:hAnsi="Calibri"/>
          <w:sz w:val="22"/>
          <w:szCs w:val="22"/>
        </w:rPr>
        <w:t xml:space="preserve">Identify the sponsor by following ownership. The sponsor tends to track whoever owns the identities and outcomes in scope: a workforce-wide effort may lean on the CISO or identity leader, a lifecycle change leans on HR leadership, a non-employee change leans on the business owners who sponsor those populations, an agentic AI change leans on whoever owns the AI program, and a customer identity initiative is usually sponsored by the product or business leader who owns the customer relationship. The weight matters more than the title.</w:t>
      </w:r>
    </w:p>
    <w:p>
      <w:pPr>
        <w:pStyle w:val="ListParagraph"/>
        <w:numPr>
          <w:ilvl w:val="0"/>
          <w:numId w:val="2"/>
        </w:numPr>
        <w:spacing w:after="120" w:line="276"/>
      </w:pPr>
      <w:r>
        <w:rPr>
          <w:rFonts w:ascii="Calibri" w:cs="Calibri" w:eastAsia="Calibri" w:hAnsi="Calibri"/>
          <w:sz w:val="22"/>
          <w:szCs w:val="22"/>
        </w:rPr>
        <w:t xml:space="preserve">Ask the sponsor for more than attention. The role is to carry weight the identity team does not have, make the change a priority other leaders take seriously, unblock what the team cannot unblock on its own, and hold the line when people push to bring back the old exceptions.</w:t>
      </w:r>
    </w:p>
    <w:p>
      <w:pPr>
        <w:pStyle w:val="ListParagraph"/>
        <w:numPr>
          <w:ilvl w:val="0"/>
          <w:numId w:val="2"/>
        </w:numPr>
        <w:spacing w:after="120" w:line="276"/>
      </w:pPr>
      <w:r>
        <w:rPr>
          <w:rFonts w:ascii="Calibri" w:cs="Calibri" w:eastAsia="Calibri" w:hAnsi="Calibri"/>
          <w:sz w:val="22"/>
          <w:szCs w:val="22"/>
        </w:rPr>
        <w:t xml:space="preserve">Treat engagement as model improvement, not just support. Stakeholders reveal hidden lifecycle realities, application-specific access meaning, process gaps, and political constraints the identity team cannot see on its own.</w:t>
      </w:r>
    </w:p>
    <w:p>
      <w:pPr>
        <w:pStyle w:val="ListParagraph"/>
        <w:numPr>
          <w:ilvl w:val="0"/>
          <w:numId w:val="2"/>
        </w:numPr>
        <w:spacing w:after="120" w:line="276"/>
      </w:pPr>
      <w:r>
        <w:rPr>
          <w:rFonts w:ascii="Calibri" w:cs="Calibri" w:eastAsia="Calibri" w:hAnsi="Calibri"/>
          <w:sz w:val="22"/>
          <w:szCs w:val="22"/>
        </w:rPr>
        <w:t xml:space="preserve">Plan the messages each stakeholder needs in the Communication Plan Template.</w:t>
      </w:r>
    </w:p>
    <w:p>
      <w:pPr>
        <w:pStyle w:val="Heading1"/>
        <w:spacing w:after="120" w:before="320"/>
      </w:pPr>
      <w:r>
        <w:rPr>
          <w:rFonts w:ascii="Georgia" w:cs="Georgia" w:eastAsia="Georgia" w:hAnsi="Georgia"/>
          <w:b/>
          <w:bCs/>
          <w:color w:val="1B2A55"/>
          <w:sz w:val="28"/>
          <w:szCs w:val="28"/>
        </w:rPr>
        <w:t xml:space="preserve">A worked example</w:t>
      </w:r>
    </w:p>
    <w:p>
      <w:pPr>
        <w:spacing w:after="160"/>
      </w:pPr>
      <w:r>
        <w:rPr>
          <w:rFonts w:ascii="Calibri" w:cs="Calibri" w:eastAsia="Calibri" w:hAnsi="Calibri"/>
          <w:i/>
          <w:iCs/>
          <w:color w:val="4A5680"/>
          <w:sz w:val="20"/>
          <w:szCs w:val="20"/>
        </w:rPr>
        <w:t xml:space="preserve">A map for the same change used in the Communication Plan Template: a new access request and manager approval process. The roles are illustrative. Replace them with the ones your organization actually uses.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2450"/>
        <w:gridCol w:w="1500"/>
        <w:gridCol w:w="1510"/>
      </w:tblGrid>
      <w:tr>
        <w:trPr>
          <w:cantSplit/>
          <w:tblHeader/>
        </w:trPr>
        <w:tc>
          <w:tcPr>
            <w:tcW w:type="dxa" w:w="17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Stakeholder</w:t>
            </w:r>
          </w:p>
        </w:tc>
        <w:tc>
          <w:tcPr>
            <w:tcW w:type="dxa" w:w="22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Why they matter</w:t>
            </w:r>
          </w:p>
        </w:tc>
        <w:tc>
          <w:tcPr>
            <w:tcW w:type="dxa" w:w="245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the change asks of them</w:t>
            </w:r>
          </w:p>
        </w:tc>
        <w:tc>
          <w:tcPr>
            <w:tcW w:type="dxa" w:w="15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Engagement</w:t>
            </w:r>
          </w:p>
        </w:tc>
        <w:tc>
          <w:tcPr>
            <w:tcW w:type="dxa" w:w="151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Notes</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HR systems owner</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Shapes identity truth</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Confirm the job and department data behind role assignment is accurate</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Inside the project</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Data fixes needed before go-live</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Application owners, finance systems</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Owns key systems; approves access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Map defined roles to their applications and review the mapping</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Inside the project</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Two systems have no current owner</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Managers who approve access</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Feels the burden first; approves access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Approve through a new queue with clearer role descriptions</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Consulted early</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See communication plan</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Help desk lead</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Depends on identity outcomes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Field the first weeks of questions with the right answers in hand</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Consulted early</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Needs the support material before launch</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VP of Engineering</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Influence to help or block; needs to become an ally</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Visible support in the organization where most requests originate</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Consulted early</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Skeptical after the last tooling change</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Identity governance lead</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Depends on identity outcomes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Fold the new process into review evidence</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Informed</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THE SPONSOR</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Workforce access requests and manager approvals.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Who owns the identities and outcomes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CISO, as owner of the workforce identity program.</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Sponsor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CISO</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sponsor has agreed to do</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Repeat why the change matters in leadership forums, unblock the two unowned finance systems, and hold the line when people push to bring back the old exceptions.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How the sponsor stays engaged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standing slot in the monthly security leadership meeting, plus direct escalation when the team is blocked. Not status updates alone.</w:t>
            </w:r>
          </w:p>
        </w:tc>
      </w:tr>
    </w:tbl>
    <w:p>
      <w:pPr>
        <w:pStyle w:val="Heading1"/>
        <w:spacing w:after="120" w:before="320"/>
      </w:pPr>
      <w:r>
        <w:rPr>
          <w:rFonts w:ascii="Georgia" w:cs="Georgia" w:eastAsia="Georgia" w:hAnsi="Georgia"/>
          <w:b/>
          <w:bCs/>
          <w:color w:val="1B2A55"/>
          <w:sz w:val="28"/>
          <w:szCs w:val="28"/>
        </w:rPr>
        <w:t xml:space="preserve">The blank form</w:t>
      </w:r>
    </w:p>
    <w:p>
      <w:pPr>
        <w:spacing w:after="160"/>
      </w:pPr>
      <w:r>
        <w:rPr>
          <w:rFonts w:ascii="Calibri" w:cs="Calibri" w:eastAsia="Calibri" w:hAnsi="Calibri"/>
          <w:i/>
          <w:iCs/>
          <w:color w:val="4A5680"/>
          <w:sz w:val="20"/>
          <w:szCs w:val="20"/>
        </w:rPr>
        <w:t xml:space="preserve">Fill in one stakeholder per row. Add rows as you need them. Then make the sponsor explicit.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2450"/>
        <w:gridCol w:w="1500"/>
        <w:gridCol w:w="1510"/>
      </w:tblGrid>
      <w:tr>
        <w:trPr>
          <w:cantSplit/>
          <w:tblHeader/>
        </w:trPr>
        <w:tc>
          <w:tcPr>
            <w:tcW w:type="dxa" w:w="17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Stakeholder</w:t>
            </w:r>
          </w:p>
        </w:tc>
        <w:tc>
          <w:tcPr>
            <w:tcW w:type="dxa" w:w="22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Why they matter</w:t>
            </w:r>
          </w:p>
        </w:tc>
        <w:tc>
          <w:tcPr>
            <w:tcW w:type="dxa" w:w="245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the change asks of them</w:t>
            </w:r>
          </w:p>
        </w:tc>
        <w:tc>
          <w:tcPr>
            <w:tcW w:type="dxa" w:w="15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Engagement</w:t>
            </w:r>
          </w:p>
        </w:tc>
        <w:tc>
          <w:tcPr>
            <w:tcW w:type="dxa" w:w="151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Notes</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THE SPONSOR</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Who owns the identities and outcomes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Sponsor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sponsor has agreed to do</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How the sponsor stays engaged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pStyle w:val="Heading1"/>
        <w:spacing w:after="120" w:before="320"/>
      </w:pPr>
      <w:r>
        <w:rPr>
          <w:rFonts w:ascii="Georgia" w:cs="Georgia" w:eastAsia="Georgia" w:hAnsi="Georgia"/>
          <w:b/>
          <w:bCs/>
          <w:color w:val="1B2A55"/>
          <w:sz w:val="28"/>
          <w:szCs w:val="28"/>
        </w:rPr>
        <w:t xml:space="preserve">Field guidance</w:t>
      </w:r>
    </w:p>
    <w:p>
      <w:pPr>
        <w:spacing w:after="160"/>
      </w:pPr>
      <w:r>
        <w:rPr>
          <w:rFonts w:ascii="Calibri" w:cs="Calibri" w:eastAsia="Calibri" w:hAnsi="Calibri"/>
          <w:i/>
          <w:iCs/>
          <w:color w:val="4A5680"/>
          <w:sz w:val="20"/>
          <w:szCs w:val="20"/>
        </w:rPr>
        <w:t xml:space="preserve">What belongs in each field, and why it earns its place.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Field</w:t>
            </w:r>
          </w:p>
        </w:tc>
        <w:tc>
          <w:tcPr>
            <w:tcW w:type="dxa" w:w="676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goes here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Stakeholder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person or role, named the way your organization knows them. Use roles where you can, so the map survives turnover.</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Why they matter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Which of the seven lenses put them on the map: shapes identity truth, depends on identity outcomes, owns key systems, approves access, feels the burden of change first, has enough influence to help or block adoption, or needs to become an ally. More than one can apply.</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change asks of them</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specific decision, behavior, or support the change needs from this stakeholder, in plain terms.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Engagement</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How they will be brought in: inside the project, consulted early, or informed. Reserve informed for stakeholders whose own work does not change.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Notes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Anything that affects the engagement: history, constraints, timing, or a related record.</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change itself, stated plainly, so the sponsor conversation starts from the same place.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Who owns the identities and outcomes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sponsor tends to track this owner. Name who owns the identities and outcomes the change touches, and the likely sponsor follows.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Sponsor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leader visibly backing the work. A sponsor who only receives status updates is not sponsoring.</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sponsor has agreed to do</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specific weight the sponsor will carry: repeating why the work matters, making it a priority other leaders take seriously, unblocking what the team cannot, and holding the line on old exceptions.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How the sponsor stays engaged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recurring moments where sponsorship shows up, beyond status reporting.</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E0" w:sz="4" w:space="4"/>
      </w:pBdr>
      <w:tabs>
        <w:tab w:val="right" w:pos="9360"/>
      </w:tabs>
    </w:pPr>
    <w:r>
      <w:rPr>
        <w:rFonts w:ascii="Calibri" w:cs="Calibri" w:eastAsia="Calibri" w:hAnsi="Calibri"/>
        <w:color w:val="4A5680"/>
        <w:sz w:val="16"/>
        <w:szCs w:val="16"/>
      </w:rPr>
      <w:t xml:space="preserve">From The Modern Identity Operating Model by Becky Sandberg.  © 2026 Becky Sandberg.</w:t>
    </w:r>
    <w:r>
      <w:rPr>
        <w:rFonts w:ascii="Calibri" w:cs="Calibri" w:eastAsia="Calibri" w:hAnsi="Calibri"/>
        <w:color w:val="4A5680"/>
        <w:sz w:val="16"/>
        <w:szCs w:val="16"/>
      </w:rPr>
      <w:t xml:space="preserve">	Page </w:t>
    </w:r>
    <w:r>
      <w:rPr>
        <w:rFonts w:ascii="Calibri" w:cs="Calibri" w:eastAsia="Calibri" w:hAnsi="Calibri"/>
        <w:color w:val="4A5680"/>
        <w:sz w:val="16"/>
        <w:szCs w:val="16"/>
      </w:rPr>
      <w:fldChar w:fldCharType="begin"/>
      <w:instrText xml:space="preserve">PAGE</w:instrText>
      <w:fldChar w:fldCharType="separate"/>
      <w:fldChar w:fldCharType="end"/>
    </w:r>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2E0" w:sz="4" w:space="4"/>
      </w:pBdr>
      <w:tabs>
        <w:tab w:val="right" w:pos="9360"/>
      </w:tabs>
      <w:jc w:val="right"/>
    </w:pPr>
    <w:r>
      <w:rPr>
        <w:rFonts w:ascii="Calibri" w:cs="Calibri" w:eastAsia="Calibri" w:hAnsi="Calibri"/>
        <w:color w:val="4A5680"/>
        <w:sz w:val="18"/>
        <w:szCs w:val="18"/>
      </w:rPr>
      <w:t xml:space="preserve">The Modern Identity Operating Model</w:t>
    </w:r>
    <w:r>
      <w:rPr>
        <w:rFonts w:ascii="Calibri" w:cs="Calibri" w:eastAsia="Calibri" w:hAnsi="Calibri"/>
        <w:b/>
        <w:bCs/>
        <w:color w:val="1B2A55"/>
        <w:sz w:val="18"/>
        <w:szCs w:val="18"/>
      </w:rPr>
      <w:t xml:space="preserve">	Stakeholder and Sponsor Map</w:t>
    </w:r>
    <w:r>
      <w:drawing>
        <wp:inline xmlns:a="http://schemas.openxmlformats.org/drawingml/2006/main" xmlns:pic="http://schemas.openxmlformats.org/drawingml/2006/picture">
          <wp:extent cx="355600" cy="355600"/>
          <wp:docPr id="1" name="Picture 1"/>
          <wp:cNvGraphicFramePr>
            <a:graphicFrameLocks noChangeAspect="1"/>
          </wp:cNvGraphicFramePr>
          <a:graphic>
            <a:graphicData uri="http://schemas.openxmlformats.org/drawingml/2006/picture">
              <pic:pic>
                <pic:nvPicPr>
                  <pic:cNvPr id="0" name="logo-mark-1024.png"/>
                  <pic:cNvPicPr/>
                </pic:nvPicPr>
                <pic:blipFill>
                  <a:blip r:embed="rId1"/>
                  <a:stretch>
                    <a:fillRect/>
                  </a:stretch>
                </pic:blipFill>
                <pic:spPr>
                  <a:xfrm>
                    <a:off x="0" y="0"/>
                    <a:ext cx="355600" cy="355600"/>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and Sponsor Map</dc:title>
  <dc:creator>Becky Sandberg</dc:creator>
  <dc:description>Companion artifact from The Modern Identity Operating Model by Becky Sandberg</dc:description>
  <cp:lastModifiedBy>Un-named</cp:lastModifiedBy>
  <cp:revision>1</cp:revision>
  <dcterms:created xsi:type="dcterms:W3CDTF">2026-08-12T17:44:58.891Z</dcterms:created>
  <dcterms:modified xsi:type="dcterms:W3CDTF">2026-08-12T17:44:58.891Z</dcterms:modified>
</cp:coreProperties>
</file>

<file path=docProps/custom.xml><?xml version="1.0" encoding="utf-8"?>
<Properties xmlns="http://schemas.openxmlformats.org/officeDocument/2006/custom-properties" xmlns:vt="http://schemas.openxmlformats.org/officeDocument/2006/docPropsVTypes"/>
</file>